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91E5" w14:textId="39EFE14E" w:rsidR="00BC1ED7" w:rsidRDefault="00120149" w:rsidP="003E74D4">
      <w:pPr>
        <w:pStyle w:val="Default"/>
        <w:spacing w:before="120" w:after="240"/>
        <w:jc w:val="center"/>
        <w:rPr>
          <w:b/>
          <w:bCs/>
          <w:sz w:val="20"/>
          <w:szCs w:val="20"/>
        </w:rPr>
      </w:pPr>
      <w:r w:rsidRPr="00120149">
        <w:rPr>
          <w:b/>
          <w:bCs/>
          <w:sz w:val="20"/>
          <w:szCs w:val="20"/>
        </w:rPr>
        <w:t xml:space="preserve">Consultation on Biodiversity Net Gain Regulations and Implementation </w:t>
      </w:r>
    </w:p>
    <w:p w14:paraId="0E8265D9" w14:textId="6806C238" w:rsidR="000E7219" w:rsidRDefault="00120149" w:rsidP="003E74D4">
      <w:pPr>
        <w:pStyle w:val="Body"/>
        <w:spacing w:before="120"/>
        <w:jc w:val="center"/>
        <w:rPr>
          <w:b/>
          <w:bCs/>
        </w:rPr>
      </w:pPr>
      <w:r>
        <w:t xml:space="preserve"> </w:t>
      </w:r>
      <w:r>
        <w:rPr>
          <w:b/>
          <w:bCs/>
        </w:rPr>
        <w:t xml:space="preserve">Response </w:t>
      </w:r>
      <w:r w:rsidR="00870CAD">
        <w:rPr>
          <w:b/>
          <w:bCs/>
        </w:rPr>
        <w:t xml:space="preserve">by </w:t>
      </w:r>
      <w:r>
        <w:rPr>
          <w:b/>
          <w:bCs/>
        </w:rPr>
        <w:t>the National Infrastructure Planning Association</w:t>
      </w:r>
    </w:p>
    <w:p w14:paraId="4A717220" w14:textId="7A8781DB" w:rsidR="00120149" w:rsidRDefault="00120149" w:rsidP="003E74D4">
      <w:pPr>
        <w:pStyle w:val="Body"/>
        <w:spacing w:before="120"/>
        <w:rPr>
          <w:b/>
          <w:bCs/>
        </w:rPr>
      </w:pPr>
      <w:r>
        <w:rPr>
          <w:b/>
          <w:bCs/>
        </w:rPr>
        <w:t>Introduction</w:t>
      </w:r>
    </w:p>
    <w:p w14:paraId="08705BC2" w14:textId="4B8F9E47" w:rsidR="00120149" w:rsidRDefault="00120149" w:rsidP="003E74D4">
      <w:pPr>
        <w:pStyle w:val="Default"/>
        <w:spacing w:before="120" w:after="240"/>
        <w:rPr>
          <w:sz w:val="20"/>
          <w:szCs w:val="20"/>
        </w:rPr>
      </w:pPr>
      <w:r>
        <w:rPr>
          <w:sz w:val="20"/>
          <w:szCs w:val="20"/>
        </w:rPr>
        <w:t xml:space="preserve">The National Infrastructure Planning Association (“NIPA”) was established in November 2010 with the aim of bringing together individuals and organisations involved in the planning and authorisation of major infrastructure projects. Our principal focus is the planning and authorisation regime for nationally significant infrastructure projects (“NSIPs”) introduced by the Planning Act 2008. We provide a forum for those with an interest in the planning and authorisation of national infrastructure projects in the UK, particularly those brought forward within the framework of the Planning Act 2008. </w:t>
      </w:r>
    </w:p>
    <w:p w14:paraId="597CD447" w14:textId="7E546644" w:rsidR="00120149" w:rsidRDefault="00120149" w:rsidP="003E74D4">
      <w:pPr>
        <w:pStyle w:val="Default"/>
        <w:spacing w:before="120" w:after="240"/>
        <w:rPr>
          <w:sz w:val="20"/>
          <w:szCs w:val="20"/>
        </w:rPr>
      </w:pPr>
      <w:r>
        <w:rPr>
          <w:sz w:val="20"/>
          <w:szCs w:val="20"/>
        </w:rPr>
        <w:t xml:space="preserve">In summary, we: </w:t>
      </w:r>
    </w:p>
    <w:p w14:paraId="24E8877A" w14:textId="78D9A96E" w:rsidR="00120149" w:rsidRDefault="00120149" w:rsidP="003E74D4">
      <w:pPr>
        <w:pStyle w:val="Default"/>
        <w:numPr>
          <w:ilvl w:val="0"/>
          <w:numId w:val="42"/>
        </w:numPr>
        <w:spacing w:before="120" w:after="240"/>
        <w:rPr>
          <w:sz w:val="20"/>
          <w:szCs w:val="20"/>
        </w:rPr>
      </w:pPr>
      <w:r>
        <w:rPr>
          <w:sz w:val="20"/>
          <w:szCs w:val="20"/>
        </w:rPr>
        <w:t xml:space="preserve">advocate and promote an effective, accountable, efficient, fair and inclusive system for the planning and authorisation of national infrastructure projects and act as a single voice for those involved in national infrastructure planning and authorisation; </w:t>
      </w:r>
    </w:p>
    <w:p w14:paraId="07A22B71" w14:textId="48B71C64" w:rsidR="00120149" w:rsidRDefault="00120149" w:rsidP="003E74D4">
      <w:pPr>
        <w:pStyle w:val="Default"/>
        <w:numPr>
          <w:ilvl w:val="0"/>
          <w:numId w:val="42"/>
        </w:numPr>
        <w:spacing w:before="120" w:after="240"/>
        <w:rPr>
          <w:sz w:val="20"/>
          <w:szCs w:val="20"/>
        </w:rPr>
      </w:pPr>
      <w:r>
        <w:rPr>
          <w:sz w:val="20"/>
          <w:szCs w:val="20"/>
        </w:rPr>
        <w:t xml:space="preserve">participate in debate on the practice and the future of national infrastructure planning and act as a consultee on proposed changes to national infrastructure planning and authorisation regimes, and other relevant consultations; and </w:t>
      </w:r>
    </w:p>
    <w:p w14:paraId="7369328A" w14:textId="350FADB1" w:rsidR="00120149" w:rsidRDefault="00120149" w:rsidP="003E74D4">
      <w:pPr>
        <w:pStyle w:val="Default"/>
        <w:numPr>
          <w:ilvl w:val="0"/>
          <w:numId w:val="42"/>
        </w:numPr>
        <w:spacing w:before="120" w:after="240"/>
        <w:rPr>
          <w:sz w:val="20"/>
          <w:szCs w:val="20"/>
        </w:rPr>
      </w:pPr>
      <w:r>
        <w:rPr>
          <w:sz w:val="20"/>
          <w:szCs w:val="20"/>
        </w:rPr>
        <w:t xml:space="preserve">develop, share and champion best practice, and improve knowledge, skills, understanding and engagement by providing opportunities for learning and debate about national infrastructure planning. </w:t>
      </w:r>
    </w:p>
    <w:p w14:paraId="539A3008" w14:textId="6CF06ABE" w:rsidR="007822FD" w:rsidRDefault="00120149" w:rsidP="003E74D4">
      <w:pPr>
        <w:pStyle w:val="Body"/>
        <w:spacing w:before="120"/>
        <w:rPr>
          <w:rFonts w:cs="Arial"/>
        </w:rPr>
      </w:pPr>
      <w:r>
        <w:t xml:space="preserve">NIPA welcomes the </w:t>
      </w:r>
      <w:r w:rsidR="00181369">
        <w:t>Department for Environment, Food and Rural Affairs (DEFRA) C</w:t>
      </w:r>
      <w:r w:rsidRPr="009A33DA">
        <w:rPr>
          <w:rFonts w:cs="Arial"/>
        </w:rPr>
        <w:t xml:space="preserve">onsultation on </w:t>
      </w:r>
      <w:r w:rsidR="00181369">
        <w:rPr>
          <w:rFonts w:cs="Arial"/>
        </w:rPr>
        <w:t>B</w:t>
      </w:r>
      <w:r w:rsidRPr="009A33DA">
        <w:rPr>
          <w:rFonts w:cs="Arial"/>
        </w:rPr>
        <w:t xml:space="preserve">iodiversity </w:t>
      </w:r>
      <w:r w:rsidR="00181369">
        <w:rPr>
          <w:rFonts w:cs="Arial"/>
        </w:rPr>
        <w:t>N</w:t>
      </w:r>
      <w:r w:rsidRPr="009A33DA">
        <w:rPr>
          <w:rFonts w:cs="Arial"/>
        </w:rPr>
        <w:t xml:space="preserve">et </w:t>
      </w:r>
      <w:r w:rsidR="00181369">
        <w:rPr>
          <w:rFonts w:cs="Arial"/>
        </w:rPr>
        <w:t>G</w:t>
      </w:r>
      <w:r w:rsidRPr="009A33DA">
        <w:rPr>
          <w:rFonts w:cs="Arial"/>
        </w:rPr>
        <w:t xml:space="preserve">ain </w:t>
      </w:r>
      <w:r w:rsidR="00181369">
        <w:rPr>
          <w:rFonts w:cs="Arial"/>
        </w:rPr>
        <w:t>R</w:t>
      </w:r>
      <w:r w:rsidRPr="009A33DA">
        <w:rPr>
          <w:rFonts w:cs="Arial"/>
        </w:rPr>
        <w:t xml:space="preserve">egulations and </w:t>
      </w:r>
      <w:r w:rsidR="00181369">
        <w:rPr>
          <w:rFonts w:cs="Arial"/>
        </w:rPr>
        <w:t>I</w:t>
      </w:r>
      <w:r w:rsidRPr="009A33DA">
        <w:rPr>
          <w:rFonts w:cs="Arial"/>
        </w:rPr>
        <w:t xml:space="preserve">mplementation </w:t>
      </w:r>
      <w:r w:rsidR="00181369">
        <w:rPr>
          <w:rFonts w:cs="Arial"/>
        </w:rPr>
        <w:t>(“</w:t>
      </w:r>
      <w:r w:rsidR="00181369" w:rsidRPr="003E74D4">
        <w:rPr>
          <w:rFonts w:cs="Arial"/>
        </w:rPr>
        <w:t>the</w:t>
      </w:r>
      <w:r w:rsidR="00181369" w:rsidRPr="00181369">
        <w:rPr>
          <w:rFonts w:cs="Arial"/>
          <w:b/>
          <w:bCs/>
        </w:rPr>
        <w:t xml:space="preserve"> </w:t>
      </w:r>
      <w:r w:rsidR="00181369" w:rsidRPr="003E74D4">
        <w:rPr>
          <w:rFonts w:cs="Arial"/>
        </w:rPr>
        <w:t>Consultation</w:t>
      </w:r>
      <w:r w:rsidR="00181369">
        <w:rPr>
          <w:rFonts w:cs="Arial"/>
        </w:rPr>
        <w:t xml:space="preserve">”) </w:t>
      </w:r>
      <w:r w:rsidRPr="009A33DA">
        <w:rPr>
          <w:rFonts w:cs="Arial"/>
        </w:rPr>
        <w:t xml:space="preserve">and the opportunity to comment </w:t>
      </w:r>
      <w:r w:rsidR="009A33DA" w:rsidRPr="009A33DA">
        <w:rPr>
          <w:rFonts w:cs="Arial"/>
        </w:rPr>
        <w:t>on the proposals to help shape developing legislation, processes and guidance.</w:t>
      </w:r>
    </w:p>
    <w:p w14:paraId="1D6762E1" w14:textId="77777777" w:rsidR="00D216C0" w:rsidRDefault="00181369" w:rsidP="003E74D4">
      <w:pPr>
        <w:pStyle w:val="Body"/>
        <w:spacing w:before="120"/>
      </w:pPr>
      <w:r>
        <w:t xml:space="preserve">NIPA </w:t>
      </w:r>
      <w:r w:rsidR="006A69A0">
        <w:t xml:space="preserve">convened a discussion on the Consultation amongst interested members who are actively engaged in a range of types of NSIP, </w:t>
      </w:r>
      <w:r>
        <w:t>and represent</w:t>
      </w:r>
      <w:r w:rsidR="006A69A0">
        <w:t>ed</w:t>
      </w:r>
      <w:r>
        <w:t xml:space="preserve"> a cross-section of interests, </w:t>
      </w:r>
      <w:proofErr w:type="gramStart"/>
      <w:r>
        <w:t>e.g.</w:t>
      </w:r>
      <w:proofErr w:type="gramEnd"/>
      <w:r>
        <w:t xml:space="preserve"> developers, consultants, local authorities, and other stakeholders. The </w:t>
      </w:r>
      <w:r w:rsidR="006A69A0">
        <w:t xml:space="preserve">discussion </w:t>
      </w:r>
      <w:r>
        <w:t xml:space="preserve">identified potential issues and opportunities for improvement. Those issues and opportunities are set out below: first a set of overarching comments, followed by a table setting out </w:t>
      </w:r>
      <w:r w:rsidR="00E745C3">
        <w:t>responses to specific Consultation questions</w:t>
      </w:r>
      <w:r>
        <w:t xml:space="preserve">. </w:t>
      </w:r>
    </w:p>
    <w:p w14:paraId="34A69877" w14:textId="6655C179" w:rsidR="00181369" w:rsidRDefault="00D30AC0" w:rsidP="003E74D4">
      <w:pPr>
        <w:pStyle w:val="Body"/>
        <w:spacing w:before="120"/>
      </w:pPr>
      <w:r>
        <w:t>NIPA’s response is focused on Question</w:t>
      </w:r>
      <w:r w:rsidR="00870CAD">
        <w:t>s</w:t>
      </w:r>
      <w:r>
        <w:t xml:space="preserve"> 17-27</w:t>
      </w:r>
      <w:r w:rsidR="00870CAD">
        <w:t>,</w:t>
      </w:r>
      <w:r>
        <w:t xml:space="preserve"> which are specific to the NSIP</w:t>
      </w:r>
      <w:r w:rsidR="00870CAD">
        <w:t>s</w:t>
      </w:r>
      <w:r>
        <w:t xml:space="preserve"> regime, but we have also provided responses to Questions 4</w:t>
      </w:r>
      <w:r w:rsidR="00847578">
        <w:t>, 10</w:t>
      </w:r>
      <w:r>
        <w:t xml:space="preserve"> and 11, as these are </w:t>
      </w:r>
      <w:r w:rsidR="004F5C70">
        <w:t>also of relevant to the NSIP</w:t>
      </w:r>
      <w:r w:rsidR="00870CAD">
        <w:t>-</w:t>
      </w:r>
      <w:r w:rsidR="004F5C70">
        <w:t xml:space="preserve">related questions. </w:t>
      </w:r>
    </w:p>
    <w:p w14:paraId="65763188" w14:textId="025719A2" w:rsidR="00D216C0" w:rsidRDefault="00D216C0" w:rsidP="003E74D4">
      <w:pPr>
        <w:pStyle w:val="Body"/>
        <w:spacing w:before="120"/>
      </w:pPr>
    </w:p>
    <w:p w14:paraId="5AA37282" w14:textId="14C5293B" w:rsidR="006A69A0" w:rsidRPr="006A69A0" w:rsidRDefault="006A69A0" w:rsidP="003E74D4">
      <w:pPr>
        <w:pStyle w:val="Body"/>
        <w:spacing w:before="120"/>
        <w:rPr>
          <w:b/>
          <w:bCs/>
        </w:rPr>
      </w:pPr>
      <w:r w:rsidRPr="006A69A0">
        <w:rPr>
          <w:b/>
          <w:bCs/>
        </w:rPr>
        <w:lastRenderedPageBreak/>
        <w:t>Section 1: Overarching Comments</w:t>
      </w:r>
    </w:p>
    <w:p w14:paraId="64B4734A" w14:textId="4C679F78" w:rsidR="00BB1CEA" w:rsidRDefault="00D216C0" w:rsidP="003E74D4">
      <w:pPr>
        <w:pStyle w:val="Body"/>
        <w:numPr>
          <w:ilvl w:val="0"/>
          <w:numId w:val="43"/>
        </w:numPr>
        <w:spacing w:before="120"/>
      </w:pPr>
      <w:r>
        <w:t xml:space="preserve">For consistency and a level playing field, </w:t>
      </w:r>
      <w:r w:rsidR="00BB1CEA" w:rsidRPr="004F5C70">
        <w:t>NIPA recommend</w:t>
      </w:r>
      <w:r w:rsidR="004F5C70" w:rsidRPr="004F5C70">
        <w:t>s</w:t>
      </w:r>
      <w:r w:rsidR="00BB1CEA" w:rsidRPr="004F5C70">
        <w:t xml:space="preserve"> that the </w:t>
      </w:r>
      <w:r w:rsidR="001D250E" w:rsidRPr="004F5C70">
        <w:t>Biodiversity Net Gain (</w:t>
      </w:r>
      <w:r w:rsidR="00BB1CEA" w:rsidRPr="004F5C70">
        <w:t>BNG</w:t>
      </w:r>
      <w:r w:rsidR="001D250E" w:rsidRPr="004F5C70">
        <w:t>)</w:t>
      </w:r>
      <w:r w:rsidR="00BB1CEA" w:rsidRPr="004F5C70">
        <w:t xml:space="preserve"> requirements should </w:t>
      </w:r>
      <w:r w:rsidR="004F5C70" w:rsidRPr="004F5C70">
        <w:t>also apply</w:t>
      </w:r>
      <w:r w:rsidR="00BB1CEA" w:rsidRPr="004F5C70">
        <w:t xml:space="preserve"> to Hybrid Bill, Transport and Works Act </w:t>
      </w:r>
      <w:r w:rsidR="00870CAD">
        <w:t xml:space="preserve">Order </w:t>
      </w:r>
      <w:r w:rsidR="00BB1CEA" w:rsidRPr="004F5C70">
        <w:t>and Harbour</w:t>
      </w:r>
      <w:r w:rsidR="00870CAD">
        <w:t>s Act</w:t>
      </w:r>
      <w:r w:rsidR="00BB1CEA" w:rsidRPr="004F5C70">
        <w:t xml:space="preserve"> Order projects</w:t>
      </w:r>
      <w:r w:rsidR="00E745C3">
        <w:t>. It</w:t>
      </w:r>
      <w:r w:rsidR="004F5C70" w:rsidRPr="004F5C70">
        <w:t xml:space="preserve"> is important that </w:t>
      </w:r>
      <w:r w:rsidR="00BB1CEA" w:rsidRPr="004F5C70">
        <w:t xml:space="preserve">the requirements </w:t>
      </w:r>
      <w:r w:rsidR="004F5C70" w:rsidRPr="004F5C70">
        <w:t xml:space="preserve">should be applied </w:t>
      </w:r>
      <w:r w:rsidR="00BB1CEA" w:rsidRPr="004F5C70">
        <w:t xml:space="preserve">universally to </w:t>
      </w:r>
      <w:r w:rsidR="004F5C70" w:rsidRPr="004F5C70">
        <w:t xml:space="preserve">ensure </w:t>
      </w:r>
      <w:r w:rsidR="004F5C70">
        <w:t xml:space="preserve">that all major infrastructure projects deliver BNG, and </w:t>
      </w:r>
      <w:r w:rsidR="004F5C70" w:rsidRPr="004F5C70">
        <w:t xml:space="preserve">that </w:t>
      </w:r>
      <w:r w:rsidR="004F5C70">
        <w:t xml:space="preserve">schemes utilising different </w:t>
      </w:r>
      <w:r w:rsidR="00BB1CEA" w:rsidRPr="004F5C70">
        <w:t xml:space="preserve">consenting </w:t>
      </w:r>
      <w:r w:rsidR="004F5C70">
        <w:t>routes</w:t>
      </w:r>
      <w:r w:rsidR="004F5C70" w:rsidRPr="004F5C70">
        <w:t xml:space="preserve"> are </w:t>
      </w:r>
      <w:r w:rsidR="004F5C70">
        <w:t xml:space="preserve">treated in a consistent </w:t>
      </w:r>
      <w:proofErr w:type="gramStart"/>
      <w:r w:rsidR="004F5C70">
        <w:t>way, and</w:t>
      </w:r>
      <w:proofErr w:type="gramEnd"/>
      <w:r w:rsidR="004F5C70">
        <w:t xml:space="preserve"> </w:t>
      </w:r>
      <w:r w:rsidR="004F5C70" w:rsidRPr="004F5C70">
        <w:t xml:space="preserve">held to </w:t>
      </w:r>
      <w:r w:rsidR="004F5C70">
        <w:t>the same standards in terms of BNG delivery, management and maintenance</w:t>
      </w:r>
      <w:r w:rsidR="00BB1CEA" w:rsidRPr="004F5C70">
        <w:t>.</w:t>
      </w:r>
    </w:p>
    <w:p w14:paraId="698D17AF" w14:textId="2DD5B12D" w:rsidR="00E745C3" w:rsidRPr="004F5C70" w:rsidRDefault="00E745C3" w:rsidP="003E74D4">
      <w:pPr>
        <w:pStyle w:val="Body"/>
        <w:numPr>
          <w:ilvl w:val="0"/>
          <w:numId w:val="43"/>
        </w:numPr>
        <w:spacing w:before="120"/>
      </w:pPr>
      <w:r>
        <w:t>NIPA considers that it is important that applicants have as long as possible to prepare for implementation of the BNG regime for NSIPs in November 2025, and that Regulations, guidance, the Biodiversity Gain Statement and appropriate Biodiversity Metric(s) to be used should be consulted on and published by November 2023 at the latest, to give applicants time to build this into their schemes</w:t>
      </w:r>
      <w:r w:rsidR="00D216C0">
        <w:t>, noting the lead-in times for major infrastructure projects</w:t>
      </w:r>
      <w:r>
        <w:t xml:space="preserve">. </w:t>
      </w:r>
    </w:p>
    <w:p w14:paraId="73E52214" w14:textId="2CC29AA8" w:rsidR="00BB1CEA" w:rsidRDefault="00BB1CEA" w:rsidP="003E74D4">
      <w:pPr>
        <w:pStyle w:val="Body"/>
        <w:numPr>
          <w:ilvl w:val="0"/>
          <w:numId w:val="43"/>
        </w:numPr>
        <w:spacing w:before="120"/>
        <w:rPr>
          <w:rFonts w:cs="Arial"/>
        </w:rPr>
      </w:pPr>
      <w:r w:rsidRPr="004F5C70">
        <w:rPr>
          <w:rFonts w:cs="Arial"/>
        </w:rPr>
        <w:t>NIPA recognise</w:t>
      </w:r>
      <w:r w:rsidR="004F5C70" w:rsidRPr="004F5C70">
        <w:rPr>
          <w:rFonts w:cs="Arial"/>
        </w:rPr>
        <w:t>s</w:t>
      </w:r>
      <w:r w:rsidRPr="004F5C70">
        <w:rPr>
          <w:rFonts w:cs="Arial"/>
        </w:rPr>
        <w:t xml:space="preserve"> the benefits of applying BNG to NSIP </w:t>
      </w:r>
      <w:proofErr w:type="gramStart"/>
      <w:r w:rsidRPr="004F5C70">
        <w:rPr>
          <w:rFonts w:cs="Arial"/>
        </w:rPr>
        <w:t>projects</w:t>
      </w:r>
      <w:r w:rsidR="004F5C70" w:rsidRPr="004F5C70">
        <w:rPr>
          <w:rFonts w:cs="Arial"/>
        </w:rPr>
        <w:t>,</w:t>
      </w:r>
      <w:r w:rsidRPr="004F5C70">
        <w:rPr>
          <w:rFonts w:cs="Arial"/>
        </w:rPr>
        <w:t xml:space="preserve"> but</w:t>
      </w:r>
      <w:proofErr w:type="gramEnd"/>
      <w:r w:rsidRPr="004F5C70">
        <w:rPr>
          <w:rFonts w:cs="Arial"/>
        </w:rPr>
        <w:t xml:space="preserve"> </w:t>
      </w:r>
      <w:r w:rsidR="004F5C70" w:rsidRPr="004F5C70">
        <w:rPr>
          <w:rFonts w:cs="Arial"/>
        </w:rPr>
        <w:t xml:space="preserve">would </w:t>
      </w:r>
      <w:r w:rsidRPr="004F5C70">
        <w:rPr>
          <w:rFonts w:cs="Arial"/>
        </w:rPr>
        <w:t xml:space="preserve">highlight that there is a risk that it is deployed on projects merely as a </w:t>
      </w:r>
      <w:r w:rsidR="001D250E" w:rsidRPr="004F5C70">
        <w:rPr>
          <w:rFonts w:cs="Arial"/>
        </w:rPr>
        <w:t>‘</w:t>
      </w:r>
      <w:r w:rsidRPr="004F5C70">
        <w:rPr>
          <w:rFonts w:cs="Arial"/>
        </w:rPr>
        <w:t>box ticking exercise</w:t>
      </w:r>
      <w:r w:rsidR="001D250E" w:rsidRPr="004F5C70">
        <w:rPr>
          <w:rFonts w:cs="Arial"/>
        </w:rPr>
        <w:t>’</w:t>
      </w:r>
      <w:r w:rsidR="004F5C70" w:rsidRPr="004F5C70">
        <w:rPr>
          <w:rFonts w:cs="Arial"/>
        </w:rPr>
        <w:t>,</w:t>
      </w:r>
      <w:r w:rsidRPr="004F5C70">
        <w:rPr>
          <w:rFonts w:cs="Arial"/>
        </w:rPr>
        <w:t xml:space="preserve"> </w:t>
      </w:r>
      <w:r w:rsidR="001D250E" w:rsidRPr="004F5C70">
        <w:rPr>
          <w:rFonts w:cs="Arial"/>
        </w:rPr>
        <w:t xml:space="preserve">forming </w:t>
      </w:r>
      <w:r w:rsidRPr="004F5C70">
        <w:rPr>
          <w:rFonts w:cs="Arial"/>
        </w:rPr>
        <w:t xml:space="preserve">an additional layer of </w:t>
      </w:r>
      <w:r w:rsidR="004F5C70" w:rsidRPr="004F5C70">
        <w:rPr>
          <w:rFonts w:cs="Arial"/>
        </w:rPr>
        <w:t>‘</w:t>
      </w:r>
      <w:r w:rsidRPr="004F5C70">
        <w:rPr>
          <w:rFonts w:cs="Arial"/>
        </w:rPr>
        <w:t>mitigation</w:t>
      </w:r>
      <w:r w:rsidR="004F5C70" w:rsidRPr="004F5C70">
        <w:rPr>
          <w:rFonts w:cs="Arial"/>
        </w:rPr>
        <w:t>’</w:t>
      </w:r>
      <w:r w:rsidRPr="004F5C70">
        <w:rPr>
          <w:rFonts w:cs="Arial"/>
        </w:rPr>
        <w:t xml:space="preserve"> to comply with </w:t>
      </w:r>
      <w:r w:rsidR="004F5C70" w:rsidRPr="004F5C70">
        <w:rPr>
          <w:rFonts w:cs="Arial"/>
        </w:rPr>
        <w:t>legislative requirements</w:t>
      </w:r>
      <w:r w:rsidRPr="004F5C70">
        <w:rPr>
          <w:rFonts w:cs="Arial"/>
        </w:rPr>
        <w:t xml:space="preserve">, rather than leading to better outcomes that communities can genuinely benefit from. </w:t>
      </w:r>
      <w:r w:rsidR="00F3491F" w:rsidRPr="004F5C70">
        <w:rPr>
          <w:rFonts w:cs="Arial"/>
        </w:rPr>
        <w:t xml:space="preserve">Our responses to the </w:t>
      </w:r>
      <w:r w:rsidR="00D216C0">
        <w:rPr>
          <w:rFonts w:cs="Arial"/>
        </w:rPr>
        <w:t>C</w:t>
      </w:r>
      <w:r w:rsidR="00F3491F" w:rsidRPr="004F5C70">
        <w:rPr>
          <w:rFonts w:cs="Arial"/>
        </w:rPr>
        <w:t xml:space="preserve">onsultation seek to identify opportunities to </w:t>
      </w:r>
      <w:r w:rsidR="00415C2B" w:rsidRPr="004F5C70">
        <w:rPr>
          <w:rFonts w:cs="Arial"/>
        </w:rPr>
        <w:t xml:space="preserve">incentivise the </w:t>
      </w:r>
      <w:r w:rsidR="00F3491F" w:rsidRPr="004F5C70">
        <w:rPr>
          <w:rFonts w:cs="Arial"/>
        </w:rPr>
        <w:t>d</w:t>
      </w:r>
      <w:r w:rsidR="00415C2B" w:rsidRPr="004F5C70">
        <w:rPr>
          <w:rFonts w:cs="Arial"/>
        </w:rPr>
        <w:t>elivery of</w:t>
      </w:r>
      <w:r w:rsidR="00F3491F" w:rsidRPr="004F5C70">
        <w:rPr>
          <w:rFonts w:cs="Arial"/>
        </w:rPr>
        <w:t xml:space="preserve"> </w:t>
      </w:r>
      <w:r w:rsidR="00415C2B" w:rsidRPr="004F5C70">
        <w:rPr>
          <w:rFonts w:cs="Arial"/>
        </w:rPr>
        <w:t xml:space="preserve">such </w:t>
      </w:r>
      <w:r w:rsidR="00F3491F" w:rsidRPr="004F5C70">
        <w:rPr>
          <w:rFonts w:cs="Arial"/>
        </w:rPr>
        <w:t>better outcomes</w:t>
      </w:r>
      <w:r w:rsidR="00415C2B" w:rsidRPr="004F5C70">
        <w:rPr>
          <w:rFonts w:cs="Arial"/>
        </w:rPr>
        <w:t xml:space="preserve">. </w:t>
      </w:r>
    </w:p>
    <w:p w14:paraId="42C267F7" w14:textId="002921F3" w:rsidR="008A0258" w:rsidRPr="004F5C70" w:rsidRDefault="008A0258" w:rsidP="003E74D4">
      <w:pPr>
        <w:pStyle w:val="Body"/>
        <w:numPr>
          <w:ilvl w:val="0"/>
          <w:numId w:val="43"/>
        </w:numPr>
        <w:spacing w:before="120"/>
        <w:rPr>
          <w:rFonts w:cs="Arial"/>
        </w:rPr>
      </w:pPr>
      <w:r>
        <w:rPr>
          <w:rFonts w:cs="Arial"/>
        </w:rPr>
        <w:t>NIPA notes that Figure 4 refers to pre-application discussions with the Examining Authority. However, it should be noted that any such discussions would take place with the Planning Inspectorate (PINS), not the Examining Authority, which is only appointed at a later stage in the process (after submission of the DCO application) and does not participate in any form of pre-application discussions with applicants.</w:t>
      </w:r>
      <w:r w:rsidR="000F053C">
        <w:rPr>
          <w:rFonts w:cs="Arial"/>
        </w:rPr>
        <w:t xml:space="preserve"> We therefore recommend revising these references to refer to PINS</w:t>
      </w:r>
      <w:r w:rsidR="008A7D6C">
        <w:rPr>
          <w:rFonts w:cs="Arial"/>
        </w:rPr>
        <w:t xml:space="preserve"> instead</w:t>
      </w:r>
      <w:r w:rsidR="000F053C">
        <w:rPr>
          <w:rFonts w:cs="Arial"/>
        </w:rPr>
        <w:t>.</w:t>
      </w:r>
    </w:p>
    <w:p w14:paraId="3DEDF7B9" w14:textId="77777777" w:rsidR="00BB1CEA" w:rsidRPr="00F220E2" w:rsidRDefault="00BB1CEA" w:rsidP="003E74D4">
      <w:pPr>
        <w:spacing w:before="120" w:after="240"/>
      </w:pPr>
    </w:p>
    <w:p w14:paraId="5FC59AE8" w14:textId="77777777" w:rsidR="00BB1CEA" w:rsidRPr="00F220E2" w:rsidRDefault="00BB1CEA" w:rsidP="003E74D4">
      <w:pPr>
        <w:pStyle w:val="Body"/>
        <w:spacing w:before="120"/>
      </w:pPr>
    </w:p>
    <w:p w14:paraId="14DA74BA" w14:textId="77777777" w:rsidR="00C13F6C" w:rsidRDefault="00C13F6C" w:rsidP="003E74D4">
      <w:pPr>
        <w:spacing w:before="120" w:after="240"/>
        <w:jc w:val="left"/>
        <w:rPr>
          <w:rFonts w:cs="Arial"/>
          <w:b/>
          <w:bCs/>
        </w:rPr>
      </w:pPr>
      <w:r>
        <w:rPr>
          <w:rFonts w:cs="Arial"/>
          <w:b/>
          <w:bCs/>
        </w:rPr>
        <w:br w:type="page"/>
      </w:r>
    </w:p>
    <w:p w14:paraId="57E2CCBF" w14:textId="5BC41D6C" w:rsidR="00083744" w:rsidRDefault="00E745C3" w:rsidP="003E74D4">
      <w:pPr>
        <w:pStyle w:val="Body"/>
        <w:spacing w:before="120"/>
        <w:rPr>
          <w:rFonts w:cs="Arial"/>
          <w:b/>
          <w:bCs/>
        </w:rPr>
      </w:pPr>
      <w:r>
        <w:rPr>
          <w:rFonts w:cs="Arial"/>
          <w:b/>
          <w:bCs/>
        </w:rPr>
        <w:lastRenderedPageBreak/>
        <w:t>Section 2: Responses to Consultation questions</w:t>
      </w:r>
    </w:p>
    <w:tbl>
      <w:tblPr>
        <w:tblStyle w:val="TableGrid"/>
        <w:tblW w:w="14029" w:type="dxa"/>
        <w:tblLook w:val="04A0" w:firstRow="1" w:lastRow="0" w:firstColumn="1" w:lastColumn="0" w:noHBand="0" w:noVBand="1"/>
      </w:tblPr>
      <w:tblGrid>
        <w:gridCol w:w="1128"/>
        <w:gridCol w:w="2978"/>
        <w:gridCol w:w="9923"/>
      </w:tblGrid>
      <w:tr w:rsidR="00396A95" w:rsidRPr="00780155" w14:paraId="0DADD21D" w14:textId="3BD9A08E" w:rsidTr="00C81CC8">
        <w:trPr>
          <w:tblHeader/>
        </w:trPr>
        <w:tc>
          <w:tcPr>
            <w:tcW w:w="1128" w:type="dxa"/>
            <w:shd w:val="clear" w:color="auto" w:fill="C00000"/>
          </w:tcPr>
          <w:p w14:paraId="17F56D5E" w14:textId="70F2FF02" w:rsidR="00396A95" w:rsidRPr="00780155" w:rsidRDefault="00396A95" w:rsidP="003E74D4">
            <w:pPr>
              <w:pStyle w:val="Body"/>
              <w:spacing w:before="120"/>
              <w:jc w:val="left"/>
              <w:rPr>
                <w:rFonts w:cs="Arial"/>
                <w:b/>
                <w:bCs/>
              </w:rPr>
            </w:pPr>
            <w:r w:rsidRPr="00780155">
              <w:rPr>
                <w:rFonts w:cs="Arial"/>
                <w:b/>
                <w:bCs/>
              </w:rPr>
              <w:t>Question Number</w:t>
            </w:r>
          </w:p>
        </w:tc>
        <w:tc>
          <w:tcPr>
            <w:tcW w:w="2978" w:type="dxa"/>
            <w:shd w:val="clear" w:color="auto" w:fill="C00000"/>
          </w:tcPr>
          <w:p w14:paraId="3D7177D4" w14:textId="6E72655E" w:rsidR="00396A95" w:rsidRPr="00780155" w:rsidRDefault="00396A95" w:rsidP="003E74D4">
            <w:pPr>
              <w:pStyle w:val="Body"/>
              <w:spacing w:before="120"/>
              <w:jc w:val="left"/>
              <w:rPr>
                <w:rFonts w:cs="Arial"/>
                <w:b/>
                <w:bCs/>
              </w:rPr>
            </w:pPr>
            <w:r w:rsidRPr="00780155">
              <w:rPr>
                <w:rFonts w:cs="Arial"/>
                <w:b/>
                <w:bCs/>
              </w:rPr>
              <w:t>Question</w:t>
            </w:r>
            <w:r>
              <w:rPr>
                <w:rFonts w:cs="Arial"/>
                <w:b/>
                <w:bCs/>
              </w:rPr>
              <w:t xml:space="preserve"> from Consultation Document</w:t>
            </w:r>
          </w:p>
        </w:tc>
        <w:tc>
          <w:tcPr>
            <w:tcW w:w="9923" w:type="dxa"/>
            <w:shd w:val="clear" w:color="auto" w:fill="C00000"/>
          </w:tcPr>
          <w:p w14:paraId="450EE133" w14:textId="3E80DBAE" w:rsidR="00396A95" w:rsidRPr="00780155" w:rsidRDefault="00396A95" w:rsidP="003E74D4">
            <w:pPr>
              <w:pStyle w:val="Body"/>
              <w:spacing w:before="120"/>
              <w:rPr>
                <w:rFonts w:cs="Arial"/>
                <w:b/>
                <w:bCs/>
              </w:rPr>
            </w:pPr>
            <w:r>
              <w:rPr>
                <w:rFonts w:cs="Arial"/>
                <w:b/>
                <w:bCs/>
              </w:rPr>
              <w:t>Response</w:t>
            </w:r>
          </w:p>
        </w:tc>
      </w:tr>
      <w:tr w:rsidR="00396A95" w:rsidRPr="00E059F7" w14:paraId="2B6DEF29" w14:textId="77777777" w:rsidTr="00C81CC8">
        <w:tc>
          <w:tcPr>
            <w:tcW w:w="1128" w:type="dxa"/>
          </w:tcPr>
          <w:p w14:paraId="70660B0F" w14:textId="337CD1A9" w:rsidR="00396A95" w:rsidRPr="00E059F7" w:rsidRDefault="00396A95" w:rsidP="003E74D4">
            <w:pPr>
              <w:pStyle w:val="Body"/>
              <w:spacing w:before="120"/>
              <w:jc w:val="left"/>
              <w:rPr>
                <w:rFonts w:cs="Arial"/>
              </w:rPr>
            </w:pPr>
            <w:r w:rsidRPr="00E059F7">
              <w:rPr>
                <w:rFonts w:cs="Arial"/>
              </w:rPr>
              <w:t>4</w:t>
            </w:r>
          </w:p>
        </w:tc>
        <w:tc>
          <w:tcPr>
            <w:tcW w:w="2978" w:type="dxa"/>
          </w:tcPr>
          <w:p w14:paraId="15C32FF8" w14:textId="46D4C635" w:rsidR="00396A95" w:rsidRPr="00E059F7" w:rsidRDefault="00396A95" w:rsidP="003E74D4">
            <w:pPr>
              <w:pStyle w:val="Body"/>
              <w:spacing w:before="120"/>
              <w:jc w:val="left"/>
              <w:rPr>
                <w:rFonts w:cs="Arial"/>
              </w:rPr>
            </w:pPr>
            <w:r w:rsidRPr="00E059F7">
              <w:rPr>
                <w:rFonts w:cs="Arial"/>
              </w:rPr>
              <w:t>Do you think developments which are undertaken exclusively for mandatory biodiversity gains should be exempt from the mandatory net gain requirement?</w:t>
            </w:r>
          </w:p>
        </w:tc>
        <w:tc>
          <w:tcPr>
            <w:tcW w:w="9923" w:type="dxa"/>
          </w:tcPr>
          <w:p w14:paraId="5EA80270" w14:textId="27781A26" w:rsidR="00396A95" w:rsidRDefault="00396A95" w:rsidP="003E74D4">
            <w:pPr>
              <w:pStyle w:val="Body"/>
              <w:spacing w:before="120"/>
              <w:rPr>
                <w:rFonts w:cs="Arial"/>
              </w:rPr>
            </w:pPr>
            <w:r>
              <w:rPr>
                <w:rFonts w:cs="Arial"/>
              </w:rPr>
              <w:t xml:space="preserve">NIPA considers that developments which are undertaken exclusively for mandatory biodiversity gain purposes should themselves be exempt from the mandatory net gain requirement, including where they are undertaken to provide mandatory BNG for a NSIP under the Planning Act 2008. </w:t>
            </w:r>
          </w:p>
          <w:p w14:paraId="2514D64C" w14:textId="79F531A1" w:rsidR="00396A95" w:rsidRPr="00E059F7" w:rsidRDefault="00396A95" w:rsidP="003E74D4">
            <w:pPr>
              <w:pStyle w:val="Body"/>
              <w:spacing w:before="120"/>
              <w:rPr>
                <w:rFonts w:cs="Arial"/>
              </w:rPr>
            </w:pPr>
            <w:r>
              <w:rPr>
                <w:rFonts w:cs="Arial"/>
              </w:rPr>
              <w:t xml:space="preserve">NIPA considers that this is important to ensure that the creation or enhancement of off-site habitat for BNG purposes for NSIPs is not discouraged or made too costly, and to avoid over-reliance on the purchase of credits from the Secretary of State in circumstances where on-site BNG cannot be delivered. </w:t>
            </w:r>
          </w:p>
        </w:tc>
      </w:tr>
      <w:tr w:rsidR="00396A95" w:rsidRPr="00780155" w14:paraId="2EBA4509" w14:textId="77777777" w:rsidTr="00C81CC8">
        <w:tc>
          <w:tcPr>
            <w:tcW w:w="1128" w:type="dxa"/>
          </w:tcPr>
          <w:p w14:paraId="681927F6" w14:textId="77777777" w:rsidR="00396A95" w:rsidRPr="00780155" w:rsidRDefault="00396A95" w:rsidP="003E74D4">
            <w:pPr>
              <w:pStyle w:val="Body"/>
              <w:spacing w:before="120"/>
              <w:jc w:val="left"/>
              <w:rPr>
                <w:rFonts w:cs="Arial"/>
              </w:rPr>
            </w:pPr>
            <w:r w:rsidRPr="00780155">
              <w:rPr>
                <w:rFonts w:cs="Arial"/>
              </w:rPr>
              <w:t>10</w:t>
            </w:r>
          </w:p>
        </w:tc>
        <w:tc>
          <w:tcPr>
            <w:tcW w:w="2978" w:type="dxa"/>
          </w:tcPr>
          <w:p w14:paraId="1D99BE02" w14:textId="77777777" w:rsidR="00396A95" w:rsidRDefault="00396A95" w:rsidP="003E74D4">
            <w:pPr>
              <w:pStyle w:val="Body"/>
              <w:spacing w:before="120"/>
              <w:jc w:val="left"/>
            </w:pPr>
            <w:r w:rsidRPr="00780155">
              <w:t>Do you agree with our proposal not to exempt development within statutory designated sites for nature conservation from the biodiversity gain requirement?</w:t>
            </w:r>
          </w:p>
          <w:p w14:paraId="281F080C" w14:textId="13BEE667" w:rsidR="00396A95" w:rsidRPr="00780155" w:rsidRDefault="00396A95" w:rsidP="003E74D4">
            <w:pPr>
              <w:pStyle w:val="Body"/>
              <w:spacing w:before="120"/>
              <w:jc w:val="left"/>
              <w:rPr>
                <w:rFonts w:ascii="Times New Roman" w:hAnsi="Times New Roman" w:cs="Times New Roman"/>
                <w:color w:val="000000"/>
                <w:sz w:val="24"/>
                <w:szCs w:val="24"/>
                <w:lang w:eastAsia="en-GB"/>
              </w:rPr>
            </w:pPr>
          </w:p>
        </w:tc>
        <w:tc>
          <w:tcPr>
            <w:tcW w:w="9923" w:type="dxa"/>
          </w:tcPr>
          <w:p w14:paraId="7A872C45" w14:textId="45CA8873" w:rsidR="00396A95" w:rsidRPr="005F28C1" w:rsidRDefault="00396A95" w:rsidP="003E74D4">
            <w:pPr>
              <w:pStyle w:val="Body"/>
              <w:spacing w:before="120"/>
              <w:rPr>
                <w:rFonts w:cs="Arial"/>
              </w:rPr>
            </w:pPr>
            <w:r w:rsidRPr="005F28C1">
              <w:rPr>
                <w:rFonts w:cs="Arial"/>
              </w:rPr>
              <w:t xml:space="preserve">NIPA agrees that this should not be exempted. </w:t>
            </w:r>
          </w:p>
        </w:tc>
      </w:tr>
      <w:tr w:rsidR="00396A95" w:rsidRPr="00780155" w14:paraId="4D85DF8B" w14:textId="77777777" w:rsidTr="00C81CC8">
        <w:tc>
          <w:tcPr>
            <w:tcW w:w="1128" w:type="dxa"/>
          </w:tcPr>
          <w:p w14:paraId="3AF72863" w14:textId="77777777" w:rsidR="00396A95" w:rsidRPr="00780155" w:rsidRDefault="00396A95" w:rsidP="003E74D4">
            <w:pPr>
              <w:pStyle w:val="Body"/>
              <w:spacing w:before="120"/>
              <w:jc w:val="left"/>
              <w:rPr>
                <w:rFonts w:cs="Arial"/>
              </w:rPr>
            </w:pPr>
            <w:r w:rsidRPr="00780155">
              <w:rPr>
                <w:rFonts w:cs="Arial"/>
              </w:rPr>
              <w:t>11</w:t>
            </w:r>
          </w:p>
        </w:tc>
        <w:tc>
          <w:tcPr>
            <w:tcW w:w="2978" w:type="dxa"/>
          </w:tcPr>
          <w:p w14:paraId="2A60A751" w14:textId="29A44DAE" w:rsidR="00396A95" w:rsidRPr="003E74D4" w:rsidRDefault="00396A95" w:rsidP="003E74D4">
            <w:pPr>
              <w:pStyle w:val="Body"/>
              <w:spacing w:before="120"/>
              <w:jc w:val="left"/>
            </w:pPr>
            <w:r w:rsidRPr="00780155">
              <w:t xml:space="preserve">Do you agree with the stated proposals for development (or component parts of a development) on irreplaceable habitats, </w:t>
            </w:r>
            <w:proofErr w:type="gramStart"/>
            <w:r w:rsidRPr="00780155">
              <w:t>specifically:</w:t>
            </w:r>
            <w:proofErr w:type="gramEnd"/>
            <w:r w:rsidRPr="00780155">
              <w:t xml:space="preserve"> </w:t>
            </w:r>
          </w:p>
        </w:tc>
        <w:tc>
          <w:tcPr>
            <w:tcW w:w="9923" w:type="dxa"/>
          </w:tcPr>
          <w:p w14:paraId="5DA2E707" w14:textId="43FDE184" w:rsidR="00396A95" w:rsidRPr="00780155" w:rsidRDefault="00396A95" w:rsidP="003E74D4">
            <w:pPr>
              <w:pStyle w:val="Body"/>
              <w:spacing w:before="120"/>
              <w:rPr>
                <w:rFonts w:cs="Arial"/>
              </w:rPr>
            </w:pPr>
          </w:p>
        </w:tc>
      </w:tr>
      <w:tr w:rsidR="00396A95" w:rsidRPr="00780155" w14:paraId="36400383" w14:textId="77777777" w:rsidTr="00C81CC8">
        <w:tc>
          <w:tcPr>
            <w:tcW w:w="1128" w:type="dxa"/>
          </w:tcPr>
          <w:p w14:paraId="23DDB5D5" w14:textId="77777777" w:rsidR="00396A95" w:rsidRPr="00780155" w:rsidRDefault="00396A95" w:rsidP="003E74D4">
            <w:pPr>
              <w:pStyle w:val="Body"/>
              <w:spacing w:before="120"/>
              <w:jc w:val="left"/>
              <w:rPr>
                <w:rFonts w:cs="Arial"/>
              </w:rPr>
            </w:pPr>
          </w:p>
        </w:tc>
        <w:tc>
          <w:tcPr>
            <w:tcW w:w="2978" w:type="dxa"/>
          </w:tcPr>
          <w:p w14:paraId="0B957A28" w14:textId="77777777" w:rsidR="00396A95" w:rsidRPr="00780155" w:rsidRDefault="00396A95" w:rsidP="003E74D4">
            <w:pPr>
              <w:pStyle w:val="Body"/>
              <w:numPr>
                <w:ilvl w:val="0"/>
                <w:numId w:val="20"/>
              </w:numPr>
              <w:spacing w:before="120"/>
              <w:jc w:val="left"/>
            </w:pPr>
            <w:r w:rsidRPr="00780155">
              <w:t xml:space="preserve">The exclusion of such development from the quantitative mandatory </w:t>
            </w:r>
            <w:r w:rsidRPr="00780155">
              <w:lastRenderedPageBreak/>
              <w:t xml:space="preserve">biodiversity gain objective? </w:t>
            </w:r>
          </w:p>
          <w:p w14:paraId="007C18D7" w14:textId="77777777" w:rsidR="00396A95" w:rsidRPr="00780155" w:rsidRDefault="00396A95" w:rsidP="003E74D4">
            <w:pPr>
              <w:pStyle w:val="Body"/>
              <w:spacing w:before="120"/>
              <w:jc w:val="left"/>
            </w:pPr>
          </w:p>
        </w:tc>
        <w:tc>
          <w:tcPr>
            <w:tcW w:w="9923" w:type="dxa"/>
          </w:tcPr>
          <w:p w14:paraId="1C113D2F" w14:textId="6E47C265" w:rsidR="009D2C0E" w:rsidRDefault="009D2C0E" w:rsidP="003E74D4">
            <w:pPr>
              <w:pStyle w:val="Body"/>
              <w:spacing w:before="120"/>
              <w:rPr>
                <w:rFonts w:cs="Arial"/>
              </w:rPr>
            </w:pPr>
            <w:r>
              <w:rPr>
                <w:rFonts w:cs="Arial"/>
              </w:rPr>
              <w:lastRenderedPageBreak/>
              <w:t>NIPA considers that there are a number of practical issues to be taken into account in the context of this question:</w:t>
            </w:r>
          </w:p>
          <w:p w14:paraId="51F987D7" w14:textId="42710A42" w:rsidR="009D2C0E" w:rsidRDefault="009D2C0E" w:rsidP="003E74D4">
            <w:pPr>
              <w:pStyle w:val="Body"/>
              <w:numPr>
                <w:ilvl w:val="0"/>
                <w:numId w:val="44"/>
              </w:numPr>
              <w:spacing w:before="120"/>
              <w:rPr>
                <w:rFonts w:cs="Arial"/>
              </w:rPr>
            </w:pPr>
            <w:r>
              <w:rPr>
                <w:rFonts w:cs="Arial"/>
              </w:rPr>
              <w:lastRenderedPageBreak/>
              <w:t xml:space="preserve">NIPA considers that irreplaceable habitat is just that, and therefore BNG as characterised through the Biodiversity Metric cannot apply – the habitat cannot be replaced with a 10% net gain. </w:t>
            </w:r>
          </w:p>
          <w:p w14:paraId="0B79A8B2" w14:textId="02EC24B7" w:rsidR="009D2C0E" w:rsidRDefault="009D2C0E" w:rsidP="003E74D4">
            <w:pPr>
              <w:pStyle w:val="Body"/>
              <w:numPr>
                <w:ilvl w:val="0"/>
                <w:numId w:val="44"/>
              </w:numPr>
              <w:spacing w:before="120"/>
              <w:rPr>
                <w:rFonts w:cs="Arial"/>
              </w:rPr>
            </w:pPr>
            <w:r>
              <w:rPr>
                <w:rFonts w:cs="Arial"/>
              </w:rPr>
              <w:t>It is also important to consider the risk of unintended and perverse outcomes, such as developers gravitating towards irreplaceable habitats on the basis that they are excluded from the BNG regime.</w:t>
            </w:r>
          </w:p>
          <w:p w14:paraId="7F6369F3" w14:textId="26AAEC89" w:rsidR="009D2C0E" w:rsidRDefault="009D2C0E" w:rsidP="003E74D4">
            <w:pPr>
              <w:pStyle w:val="Body"/>
              <w:numPr>
                <w:ilvl w:val="0"/>
                <w:numId w:val="44"/>
              </w:numPr>
              <w:spacing w:before="120"/>
              <w:rPr>
                <w:rFonts w:cs="Arial"/>
              </w:rPr>
            </w:pPr>
            <w:r>
              <w:rPr>
                <w:rFonts w:cs="Arial"/>
              </w:rPr>
              <w:t xml:space="preserve">Further, it is undesirable to have a proliferation of separate and different regimes applying on top of existing requirements and the BNG regime, such as appears to be proposed in the Consultation in terms of a separate regime for irreplaceable habitat. </w:t>
            </w:r>
          </w:p>
          <w:p w14:paraId="5F8CC851" w14:textId="3C0978ED" w:rsidR="009D2C0E" w:rsidRDefault="009D2C0E" w:rsidP="003E74D4">
            <w:pPr>
              <w:pStyle w:val="Body"/>
              <w:spacing w:before="120"/>
              <w:rPr>
                <w:rFonts w:cs="Arial"/>
              </w:rPr>
            </w:pPr>
            <w:r>
              <w:rPr>
                <w:rFonts w:cs="Arial"/>
              </w:rPr>
              <w:t xml:space="preserve">The proposals in the Consultation risk duplication of other policy requirements, in relation to irreplaceable habitat, and other mechanisms such as HRA. </w:t>
            </w:r>
          </w:p>
          <w:p w14:paraId="0E1E2A0E" w14:textId="1F44D532" w:rsidR="00396A95" w:rsidRPr="00C2626D" w:rsidRDefault="00396A95" w:rsidP="003E74D4">
            <w:pPr>
              <w:pStyle w:val="Body"/>
              <w:spacing w:before="120"/>
              <w:rPr>
                <w:rFonts w:cs="Arial"/>
              </w:rPr>
            </w:pPr>
            <w:r w:rsidRPr="00C2626D">
              <w:rPr>
                <w:rFonts w:cs="Arial"/>
              </w:rPr>
              <w:t xml:space="preserve">If certain elements of development affecting irreplaceable habitat cannot be avoided, planning policy </w:t>
            </w:r>
            <w:r w:rsidR="009D2C0E">
              <w:rPr>
                <w:rFonts w:cs="Arial"/>
              </w:rPr>
              <w:t xml:space="preserve">already </w:t>
            </w:r>
            <w:r w:rsidRPr="00C2626D">
              <w:rPr>
                <w:rFonts w:cs="Arial"/>
              </w:rPr>
              <w:t xml:space="preserve">establishes a high bar for development affecting irreplaceable habitats. Where the decision-maker uses planning judgement to seek to approve development affecting irreplaceable habitats, the net gain regime should be deemed to be acceptable by virtue of the decision-maker’s judgement and consideration of other relevant factors which may include other forms of gain or enhancement. </w:t>
            </w:r>
          </w:p>
        </w:tc>
      </w:tr>
      <w:tr w:rsidR="00396A95" w:rsidRPr="00780155" w14:paraId="6D952935" w14:textId="77777777" w:rsidTr="00C81CC8">
        <w:tc>
          <w:tcPr>
            <w:tcW w:w="1128" w:type="dxa"/>
          </w:tcPr>
          <w:p w14:paraId="50D37F0F" w14:textId="77777777" w:rsidR="00396A95" w:rsidRPr="00780155" w:rsidRDefault="00396A95" w:rsidP="003E74D4">
            <w:pPr>
              <w:pStyle w:val="Body"/>
              <w:spacing w:before="120"/>
              <w:jc w:val="left"/>
              <w:rPr>
                <w:rFonts w:cs="Arial"/>
              </w:rPr>
            </w:pPr>
          </w:p>
        </w:tc>
        <w:tc>
          <w:tcPr>
            <w:tcW w:w="2978" w:type="dxa"/>
          </w:tcPr>
          <w:p w14:paraId="0B073E72" w14:textId="3B818F5F" w:rsidR="00396A95" w:rsidRPr="00780155" w:rsidRDefault="00396A95" w:rsidP="003E74D4">
            <w:pPr>
              <w:pStyle w:val="Body"/>
              <w:numPr>
                <w:ilvl w:val="0"/>
                <w:numId w:val="20"/>
              </w:numPr>
              <w:spacing w:before="120"/>
              <w:jc w:val="left"/>
            </w:pPr>
            <w:r w:rsidRPr="00780155">
              <w:t xml:space="preserve">The inclusion of a requirement to submit a version of a biodiversity gain plan for development (or component parts of a development) on irreplaceable habitats to increase proposal transparency? </w:t>
            </w:r>
          </w:p>
        </w:tc>
        <w:tc>
          <w:tcPr>
            <w:tcW w:w="9923" w:type="dxa"/>
          </w:tcPr>
          <w:p w14:paraId="21F5CBB8" w14:textId="546AF392" w:rsidR="00396A95" w:rsidRPr="00C2626D" w:rsidRDefault="00396A95" w:rsidP="003E74D4">
            <w:pPr>
              <w:pStyle w:val="Body"/>
              <w:spacing w:before="120"/>
              <w:rPr>
                <w:rFonts w:cs="Arial"/>
              </w:rPr>
            </w:pPr>
            <w:r w:rsidRPr="00C2626D">
              <w:rPr>
                <w:rFonts w:cs="Arial"/>
              </w:rPr>
              <w:t>See above.</w:t>
            </w:r>
          </w:p>
        </w:tc>
      </w:tr>
      <w:tr w:rsidR="00396A95" w:rsidRPr="00780155" w14:paraId="61C18E9B" w14:textId="77777777" w:rsidTr="00C81CC8">
        <w:tc>
          <w:tcPr>
            <w:tcW w:w="1128" w:type="dxa"/>
          </w:tcPr>
          <w:p w14:paraId="0E5ACE84" w14:textId="77777777" w:rsidR="00396A95" w:rsidRPr="00780155" w:rsidRDefault="00396A95" w:rsidP="003E74D4">
            <w:pPr>
              <w:pStyle w:val="Body"/>
              <w:spacing w:before="120"/>
              <w:jc w:val="left"/>
              <w:rPr>
                <w:rFonts w:cs="Arial"/>
              </w:rPr>
            </w:pPr>
          </w:p>
        </w:tc>
        <w:tc>
          <w:tcPr>
            <w:tcW w:w="2978" w:type="dxa"/>
          </w:tcPr>
          <w:p w14:paraId="4CA15732" w14:textId="0E5C5450" w:rsidR="00396A95" w:rsidRPr="00780155" w:rsidRDefault="00396A95" w:rsidP="003E74D4">
            <w:pPr>
              <w:pStyle w:val="Body"/>
              <w:numPr>
                <w:ilvl w:val="0"/>
                <w:numId w:val="20"/>
              </w:numPr>
              <w:spacing w:before="120"/>
              <w:jc w:val="left"/>
            </w:pPr>
            <w:r w:rsidRPr="00780155">
              <w:t>Where there are no negative impacts to irreplaceable habitat, to allow use of the biodiversity metric to calculate the value of enhancements of irreplaceable habitat?</w:t>
            </w:r>
          </w:p>
        </w:tc>
        <w:tc>
          <w:tcPr>
            <w:tcW w:w="9923" w:type="dxa"/>
          </w:tcPr>
          <w:p w14:paraId="2A999A4F" w14:textId="0F583659" w:rsidR="00396A95" w:rsidRPr="00640FFE" w:rsidRDefault="00396A95" w:rsidP="003E74D4">
            <w:pPr>
              <w:pStyle w:val="Body"/>
              <w:spacing w:before="120"/>
              <w:rPr>
                <w:rFonts w:cs="Arial"/>
                <w:highlight w:val="green"/>
              </w:rPr>
            </w:pPr>
            <w:r w:rsidRPr="00C2626D">
              <w:rPr>
                <w:rFonts w:cs="Arial"/>
              </w:rPr>
              <w:t>See above.</w:t>
            </w:r>
          </w:p>
        </w:tc>
      </w:tr>
      <w:tr w:rsidR="00396A95" w:rsidRPr="00780155" w14:paraId="6E7B3291" w14:textId="77777777" w:rsidTr="00C81CC8">
        <w:tc>
          <w:tcPr>
            <w:tcW w:w="1128" w:type="dxa"/>
          </w:tcPr>
          <w:p w14:paraId="5988BC34" w14:textId="77777777" w:rsidR="00396A95" w:rsidRPr="00780155" w:rsidRDefault="00396A95" w:rsidP="003E74D4">
            <w:pPr>
              <w:pStyle w:val="Body"/>
              <w:spacing w:before="120"/>
              <w:jc w:val="left"/>
              <w:rPr>
                <w:rFonts w:cs="Arial"/>
              </w:rPr>
            </w:pPr>
          </w:p>
        </w:tc>
        <w:tc>
          <w:tcPr>
            <w:tcW w:w="2978" w:type="dxa"/>
          </w:tcPr>
          <w:p w14:paraId="0863E25D" w14:textId="0DA76CFC" w:rsidR="00396A95" w:rsidRPr="00780155" w:rsidRDefault="00396A95" w:rsidP="003E74D4">
            <w:pPr>
              <w:pStyle w:val="Body"/>
              <w:numPr>
                <w:ilvl w:val="0"/>
                <w:numId w:val="20"/>
              </w:numPr>
              <w:spacing w:before="120"/>
              <w:jc w:val="left"/>
            </w:pPr>
            <w:r w:rsidRPr="00780155">
              <w:t xml:space="preserve">To use the powers in biodiversity net gain legislation to set out a definition of irreplaceable habitat, which would be supported by guidance on interpretation? </w:t>
            </w:r>
          </w:p>
        </w:tc>
        <w:tc>
          <w:tcPr>
            <w:tcW w:w="9923" w:type="dxa"/>
          </w:tcPr>
          <w:p w14:paraId="5A8D0164" w14:textId="40639F2A" w:rsidR="00396A95" w:rsidRPr="00C2626D" w:rsidRDefault="00396A95" w:rsidP="003E74D4">
            <w:pPr>
              <w:pStyle w:val="Body"/>
              <w:spacing w:before="120"/>
              <w:rPr>
                <w:rFonts w:cs="Arial"/>
              </w:rPr>
            </w:pPr>
            <w:r w:rsidRPr="00C2626D">
              <w:rPr>
                <w:rFonts w:cs="Arial"/>
              </w:rPr>
              <w:t>NIPA considers that it would be helpful to have a clear definition of ‘irreplaceable habitat’, supported by guidance on interpretation, for the purposes of assessing effects on this type of habitat. See our response above.</w:t>
            </w:r>
          </w:p>
        </w:tc>
      </w:tr>
      <w:tr w:rsidR="00396A95" w:rsidRPr="00780155" w14:paraId="149E70F8" w14:textId="77777777" w:rsidTr="00C81CC8">
        <w:tc>
          <w:tcPr>
            <w:tcW w:w="1128" w:type="dxa"/>
          </w:tcPr>
          <w:p w14:paraId="074FCB55" w14:textId="77777777" w:rsidR="00396A95" w:rsidRPr="00780155" w:rsidRDefault="00396A95" w:rsidP="003E74D4">
            <w:pPr>
              <w:pStyle w:val="Body"/>
              <w:spacing w:before="120"/>
              <w:jc w:val="left"/>
              <w:rPr>
                <w:rFonts w:cs="Arial"/>
              </w:rPr>
            </w:pPr>
          </w:p>
        </w:tc>
        <w:tc>
          <w:tcPr>
            <w:tcW w:w="2978" w:type="dxa"/>
          </w:tcPr>
          <w:p w14:paraId="1B3829AA" w14:textId="77777777" w:rsidR="00396A95" w:rsidRPr="00780155" w:rsidRDefault="00396A95" w:rsidP="003E74D4">
            <w:pPr>
              <w:pStyle w:val="Body"/>
              <w:numPr>
                <w:ilvl w:val="0"/>
                <w:numId w:val="20"/>
              </w:numPr>
              <w:spacing w:before="120"/>
              <w:jc w:val="left"/>
            </w:pPr>
            <w:r w:rsidRPr="00780155">
              <w:t>provision of guidance on what constitutes irreplaceable habitat to support the formation of bespoke compensation agreements?</w:t>
            </w:r>
          </w:p>
        </w:tc>
        <w:tc>
          <w:tcPr>
            <w:tcW w:w="9923" w:type="dxa"/>
          </w:tcPr>
          <w:p w14:paraId="0EE57AA3" w14:textId="0365E109" w:rsidR="00396A95" w:rsidRPr="00C2626D" w:rsidRDefault="00396A95" w:rsidP="003E74D4">
            <w:pPr>
              <w:pStyle w:val="Body"/>
              <w:spacing w:before="120"/>
              <w:rPr>
                <w:rFonts w:cs="Arial"/>
              </w:rPr>
            </w:pPr>
            <w:r w:rsidRPr="00C2626D">
              <w:rPr>
                <w:rFonts w:cs="Arial"/>
              </w:rPr>
              <w:t>NIPA considers that it would be helpful to have a clear definition of ‘irreplaceable habitat’, supported by guidance on interpretation, for the purposes of assessing effects on this type of habitat. See our response above.</w:t>
            </w:r>
          </w:p>
        </w:tc>
      </w:tr>
      <w:tr w:rsidR="00396A95" w:rsidRPr="00780155" w14:paraId="766B8C19" w14:textId="0D2BE985" w:rsidTr="00C81CC8">
        <w:tc>
          <w:tcPr>
            <w:tcW w:w="1128" w:type="dxa"/>
          </w:tcPr>
          <w:p w14:paraId="4B44F39F" w14:textId="34AC1D46" w:rsidR="00396A95" w:rsidRPr="00780155" w:rsidRDefault="00396A95" w:rsidP="003E74D4">
            <w:pPr>
              <w:pStyle w:val="Body"/>
              <w:spacing w:before="120"/>
              <w:jc w:val="left"/>
              <w:rPr>
                <w:rFonts w:cs="Arial"/>
              </w:rPr>
            </w:pPr>
            <w:r w:rsidRPr="00780155">
              <w:rPr>
                <w:rFonts w:cs="Arial"/>
              </w:rPr>
              <w:t>17</w:t>
            </w:r>
          </w:p>
        </w:tc>
        <w:tc>
          <w:tcPr>
            <w:tcW w:w="2978" w:type="dxa"/>
          </w:tcPr>
          <w:p w14:paraId="2F42EC49" w14:textId="49ACF000" w:rsidR="00396A95" w:rsidRPr="00780155" w:rsidRDefault="00396A95" w:rsidP="003E74D4">
            <w:pPr>
              <w:pStyle w:val="Body"/>
              <w:spacing w:before="120"/>
              <w:jc w:val="left"/>
              <w:rPr>
                <w:rFonts w:cs="Arial"/>
              </w:rPr>
            </w:pPr>
            <w:r w:rsidRPr="00780155">
              <w:t xml:space="preserve">Are any targeted exemptions (other than that for irreplaceable habitat), reduced biodiversity net gain </w:t>
            </w:r>
            <w:r w:rsidRPr="00780155">
              <w:lastRenderedPageBreak/>
              <w:t>objectives, or other modified requirements necessary for the application of the biodiversity net gain requirement to NSIPs?</w:t>
            </w:r>
          </w:p>
        </w:tc>
        <w:tc>
          <w:tcPr>
            <w:tcW w:w="9923" w:type="dxa"/>
          </w:tcPr>
          <w:p w14:paraId="168B98AB" w14:textId="15364BB0" w:rsidR="00396A95" w:rsidRPr="00405408" w:rsidRDefault="00396A95" w:rsidP="003E74D4">
            <w:pPr>
              <w:pStyle w:val="Body"/>
              <w:spacing w:before="120"/>
              <w:rPr>
                <w:b/>
                <w:bCs/>
              </w:rPr>
            </w:pPr>
            <w:r>
              <w:rPr>
                <w:b/>
                <w:bCs/>
              </w:rPr>
              <w:lastRenderedPageBreak/>
              <w:t>Targeted exemptions</w:t>
            </w:r>
          </w:p>
          <w:p w14:paraId="1D2F08CE" w14:textId="77777777" w:rsidR="00396A95" w:rsidRPr="00A03A43" w:rsidRDefault="00396A95" w:rsidP="003E74D4">
            <w:pPr>
              <w:pStyle w:val="Body"/>
              <w:spacing w:before="120"/>
            </w:pPr>
            <w:r w:rsidRPr="00A03A43">
              <w:lastRenderedPageBreak/>
              <w:t>As a general point, NIPA recommends that any exemptions are clearly defined</w:t>
            </w:r>
            <w:r>
              <w:t xml:space="preserve"> and supported by appropriate guidance.</w:t>
            </w:r>
          </w:p>
          <w:p w14:paraId="240B5082" w14:textId="05C94C95" w:rsidR="00396A95" w:rsidRPr="00D07930" w:rsidRDefault="00396A95" w:rsidP="003E74D4">
            <w:pPr>
              <w:pStyle w:val="Body"/>
              <w:spacing w:before="120"/>
            </w:pPr>
            <w:r>
              <w:t>NIPA</w:t>
            </w:r>
            <w:r w:rsidRPr="00D07930">
              <w:t xml:space="preserve"> consider</w:t>
            </w:r>
            <w:r>
              <w:t>s</w:t>
            </w:r>
            <w:r w:rsidRPr="00D07930">
              <w:t xml:space="preserve"> that the following exemptions should apply in the context of the application of the biodiversity net gain requirement for NSIPs:</w:t>
            </w:r>
          </w:p>
          <w:p w14:paraId="1616B49D" w14:textId="38492738" w:rsidR="00396A95" w:rsidRPr="00D07930" w:rsidRDefault="00396A95" w:rsidP="003E74D4">
            <w:pPr>
              <w:pStyle w:val="Body"/>
              <w:numPr>
                <w:ilvl w:val="0"/>
                <w:numId w:val="45"/>
              </w:numPr>
              <w:spacing w:before="120"/>
            </w:pPr>
            <w:r w:rsidRPr="00D07930">
              <w:t xml:space="preserve">developments impacting habitat areas below a ‘de minimis’ (minimal) threshold – </w:t>
            </w:r>
            <w:r w:rsidR="009D2C0E">
              <w:t>this</w:t>
            </w:r>
            <w:r w:rsidR="00670640">
              <w:t xml:space="preserve"> may </w:t>
            </w:r>
            <w:r w:rsidR="009D2C0E">
              <w:t xml:space="preserve">also </w:t>
            </w:r>
            <w:r w:rsidR="00670640">
              <w:t xml:space="preserve">be appropriate for amendments to DCOs and so </w:t>
            </w:r>
            <w:r w:rsidRPr="00D07930">
              <w:t>we consider that in principle a de minimis threshold should apply</w:t>
            </w:r>
            <w:r w:rsidR="009D2C0E">
              <w:t xml:space="preserve"> and be proportionate in the major infrastructure context</w:t>
            </w:r>
            <w:r w:rsidR="00870CAD">
              <w:t>;</w:t>
            </w:r>
            <w:r w:rsidRPr="00D07930">
              <w:t xml:space="preserve"> </w:t>
            </w:r>
          </w:p>
          <w:p w14:paraId="001BAC27" w14:textId="64B2FED3" w:rsidR="00396A95" w:rsidRDefault="00396A95" w:rsidP="003E74D4">
            <w:pPr>
              <w:pStyle w:val="Body"/>
              <w:numPr>
                <w:ilvl w:val="0"/>
                <w:numId w:val="45"/>
              </w:numPr>
              <w:spacing w:before="120"/>
            </w:pPr>
            <w:r w:rsidRPr="00D07930">
              <w:t>creation of biodiversity gain sites where these are serving NSIPs</w:t>
            </w:r>
            <w:r w:rsidR="00870CAD">
              <w:t xml:space="preserve"> - p</w:t>
            </w:r>
            <w:r w:rsidRPr="00D07930">
              <w:t>lease see our response to Question 4</w:t>
            </w:r>
            <w:r>
              <w:t xml:space="preserve"> in this regard</w:t>
            </w:r>
            <w:r w:rsidR="00870CAD">
              <w:t>;</w:t>
            </w:r>
          </w:p>
          <w:p w14:paraId="110FB0A8" w14:textId="50C1446C" w:rsidR="00396A95" w:rsidRDefault="00396A95" w:rsidP="003E74D4">
            <w:pPr>
              <w:pStyle w:val="Body"/>
              <w:numPr>
                <w:ilvl w:val="0"/>
                <w:numId w:val="45"/>
              </w:numPr>
              <w:spacing w:before="120"/>
            </w:pPr>
            <w:r>
              <w:t xml:space="preserve">development giving rise to temporary effects, provided that the habitat is reinstated </w:t>
            </w:r>
            <w:r w:rsidR="009D2C0E">
              <w:t xml:space="preserve">or can be proven to be capable of natural regeneration </w:t>
            </w:r>
            <w:r>
              <w:t>within</w:t>
            </w:r>
            <w:r w:rsidR="00670640">
              <w:t xml:space="preserve">, </w:t>
            </w:r>
            <w:r w:rsidR="009D2C0E">
              <w:t>for example</w:t>
            </w:r>
            <w:r w:rsidR="00670640">
              <w:t>,</w:t>
            </w:r>
            <w:r>
              <w:t xml:space="preserve"> 5 years. NIPA considers that </w:t>
            </w:r>
            <w:r w:rsidRPr="00D07930">
              <w:t>the Regulations or else the Biodiversity Metric should exempt development</w:t>
            </w:r>
            <w:r>
              <w:t xml:space="preserve"> giving rise to </w:t>
            </w:r>
            <w:r w:rsidRPr="00D07930">
              <w:t>temporary</w:t>
            </w:r>
            <w:r>
              <w:t xml:space="preserve"> effects, such as</w:t>
            </w:r>
            <w:r w:rsidRPr="00D07930">
              <w:t xml:space="preserve"> </w:t>
            </w:r>
            <w:r w:rsidRPr="00405408">
              <w:t>those that arise from underground pipelines and other infrastructure</w:t>
            </w:r>
            <w:r>
              <w:t>,</w:t>
            </w:r>
            <w:r w:rsidRPr="00405408">
              <w:t xml:space="preserve"> </w:t>
            </w:r>
            <w:r w:rsidRPr="00D07930">
              <w:t xml:space="preserve">from the </w:t>
            </w:r>
            <w:r>
              <w:t>BNG</w:t>
            </w:r>
            <w:r w:rsidRPr="00D07930">
              <w:t xml:space="preserve"> requirements provided that the habitat is reinstated </w:t>
            </w:r>
            <w:r w:rsidR="009D2C0E">
              <w:t xml:space="preserve">or can be proven to be capable of natural regeneration </w:t>
            </w:r>
            <w:r w:rsidRPr="00D07930">
              <w:t>within</w:t>
            </w:r>
            <w:r w:rsidR="009D2C0E">
              <w:t>, for example,</w:t>
            </w:r>
            <w:r w:rsidRPr="00D07930">
              <w:t xml:space="preserve"> 5 years</w:t>
            </w:r>
            <w:r w:rsidR="00870CAD">
              <w:t>; and</w:t>
            </w:r>
          </w:p>
          <w:p w14:paraId="0AAE469A" w14:textId="43F8F7B3" w:rsidR="00396A95" w:rsidRPr="00D07930" w:rsidRDefault="00396A95" w:rsidP="003E74D4">
            <w:pPr>
              <w:pStyle w:val="Body"/>
              <w:numPr>
                <w:ilvl w:val="0"/>
                <w:numId w:val="45"/>
              </w:numPr>
              <w:spacing w:before="120"/>
            </w:pPr>
            <w:r>
              <w:t xml:space="preserve">temporary works, for the duration of the temporary works, provided that the habitat is reinstated - </w:t>
            </w:r>
            <w:r w:rsidRPr="00405408">
              <w:t xml:space="preserve">NIPA considers that an exemption should apply for temporary works in the context of NSIPs. We consider that it would be appropriate to have an exemption relating to the maximum period of the temporary works, but on the proviso that reinstatement </w:t>
            </w:r>
            <w:r w:rsidR="009D2C0E">
              <w:t xml:space="preserve">or natural regeneration </w:t>
            </w:r>
            <w:r w:rsidRPr="00405408">
              <w:t xml:space="preserve">would be undertaken </w:t>
            </w:r>
            <w:r w:rsidR="009D2C0E">
              <w:t xml:space="preserve">or would occur, </w:t>
            </w:r>
            <w:r w:rsidRPr="00405408">
              <w:t>which would achieve at least equivalence (no net loss) following cessation of the temporary use. Consideration also needs to be given to subsurface development and reinstatement</w:t>
            </w:r>
            <w:r w:rsidR="009D2C0E">
              <w:t>/ natural regeneration</w:t>
            </w:r>
            <w:r w:rsidRPr="00405408">
              <w:t xml:space="preserve">, and how this will be addressed in terms of temporary </w:t>
            </w:r>
            <w:r w:rsidRPr="003E74D4">
              <w:rPr>
                <w:i/>
                <w:iCs/>
              </w:rPr>
              <w:t>vs</w:t>
            </w:r>
            <w:r w:rsidRPr="00405408">
              <w:t xml:space="preserve"> permanent </w:t>
            </w:r>
            <w:r>
              <w:t xml:space="preserve">works, </w:t>
            </w:r>
            <w:r w:rsidRPr="00405408">
              <w:t>and the requirements that should apply.</w:t>
            </w:r>
          </w:p>
          <w:p w14:paraId="7937261F" w14:textId="5259CDEF" w:rsidR="00396A95" w:rsidRDefault="00396A95" w:rsidP="003E74D4">
            <w:pPr>
              <w:pStyle w:val="Body"/>
              <w:spacing w:before="120"/>
              <w:rPr>
                <w:b/>
                <w:bCs/>
              </w:rPr>
            </w:pPr>
            <w:r>
              <w:rPr>
                <w:b/>
                <w:bCs/>
              </w:rPr>
              <w:t>Other modifications necessary for NSIPs</w:t>
            </w:r>
          </w:p>
          <w:p w14:paraId="5A3E3220" w14:textId="1E7A7B47" w:rsidR="00396A95" w:rsidRPr="00A03A43" w:rsidRDefault="00396A95" w:rsidP="003E74D4">
            <w:pPr>
              <w:pStyle w:val="Body"/>
              <w:spacing w:before="120"/>
              <w:rPr>
                <w:u w:val="single"/>
              </w:rPr>
            </w:pPr>
            <w:r>
              <w:rPr>
                <w:u w:val="single"/>
              </w:rPr>
              <w:t>Transitional arrangements</w:t>
            </w:r>
          </w:p>
          <w:p w14:paraId="085700D6" w14:textId="5BD80D63" w:rsidR="00396A95" w:rsidRDefault="00396A95" w:rsidP="003E74D4">
            <w:pPr>
              <w:pStyle w:val="Body"/>
              <w:spacing w:before="120"/>
            </w:pPr>
            <w:r>
              <w:lastRenderedPageBreak/>
              <w:t>Given the long lead-in time for most NSIPs, NIPA</w:t>
            </w:r>
            <w:r w:rsidRPr="00D07930">
              <w:t xml:space="preserve"> </w:t>
            </w:r>
            <w:r>
              <w:t>considers it important</w:t>
            </w:r>
            <w:r w:rsidRPr="00D07930">
              <w:t xml:space="preserve"> that </w:t>
            </w:r>
            <w:r>
              <w:t xml:space="preserve">appropriate </w:t>
            </w:r>
            <w:r w:rsidRPr="00D07930">
              <w:t xml:space="preserve">transition arrangements </w:t>
            </w:r>
            <w:r>
              <w:t xml:space="preserve">are provided, so as to </w:t>
            </w:r>
            <w:r w:rsidRPr="00D07930">
              <w:t xml:space="preserve">ensure that projects which did not expect to be caught by the biodiversity net gain requirement, but which end up being caught by it at a later project stage, for example due to unexpected delays or later amendments to the DCO, are not disproportionately impacted or rendered undeliverable. </w:t>
            </w:r>
            <w:r>
              <w:t xml:space="preserve">Please see our response to Question 20. </w:t>
            </w:r>
          </w:p>
          <w:p w14:paraId="0A866A75" w14:textId="5ABD0502" w:rsidR="00396A95" w:rsidRPr="00A03A43" w:rsidRDefault="00396A95" w:rsidP="003E74D4">
            <w:pPr>
              <w:pStyle w:val="Body"/>
              <w:spacing w:before="120"/>
              <w:rPr>
                <w:u w:val="single"/>
              </w:rPr>
            </w:pPr>
            <w:r>
              <w:rPr>
                <w:u w:val="single"/>
              </w:rPr>
              <w:t>Amendments to a DCO</w:t>
            </w:r>
          </w:p>
          <w:p w14:paraId="660870F9" w14:textId="20760FB2" w:rsidR="00396A95" w:rsidRDefault="00396A95" w:rsidP="003E74D4">
            <w:pPr>
              <w:pStyle w:val="Body"/>
              <w:spacing w:before="120"/>
            </w:pPr>
            <w:r>
              <w:t>NIPA considers that</w:t>
            </w:r>
            <w:r w:rsidRPr="00D07930">
              <w:t xml:space="preserve"> non-material amendments to a DCO should not trigger a requirement to deliver biodiversity net gain, because </w:t>
            </w:r>
            <w:r>
              <w:t>such amendments are</w:t>
            </w:r>
            <w:r w:rsidRPr="00D07930">
              <w:t xml:space="preserve"> unlikely to result in additional habitat loss over and above what has been consented</w:t>
            </w:r>
            <w:r>
              <w:t xml:space="preserve"> in the DCO, and for which BNG provision will already have been made</w:t>
            </w:r>
            <w:r w:rsidRPr="00D07930">
              <w:t xml:space="preserve">. Further, we consider that material amendments to a DCO should only trigger a requirement to deliver </w:t>
            </w:r>
            <w:r>
              <w:t>BNG</w:t>
            </w:r>
            <w:r w:rsidRPr="00D07930">
              <w:t xml:space="preserve"> relative to any additional habitat loss over and above the consented scheme, </w:t>
            </w:r>
            <w:r w:rsidRPr="00C2626D">
              <w:t xml:space="preserve">and in such cases only where the habitat loss is greater than the </w:t>
            </w:r>
            <w:r w:rsidRPr="003E74D4">
              <w:rPr>
                <w:i/>
                <w:iCs/>
              </w:rPr>
              <w:t>de minimis</w:t>
            </w:r>
            <w:r w:rsidRPr="00C2626D">
              <w:t xml:space="preserve"> threshold suggested above</w:t>
            </w:r>
            <w:r w:rsidRPr="00D07930">
              <w:t>.</w:t>
            </w:r>
          </w:p>
          <w:p w14:paraId="6C44DDB4" w14:textId="2DDDD843" w:rsidR="00396A95" w:rsidRPr="00A03A43" w:rsidRDefault="00396A95" w:rsidP="003E74D4">
            <w:pPr>
              <w:pStyle w:val="Body"/>
              <w:spacing w:before="120"/>
              <w:rPr>
                <w:u w:val="single"/>
              </w:rPr>
            </w:pPr>
            <w:r>
              <w:rPr>
                <w:u w:val="single"/>
              </w:rPr>
              <w:t>Phasing</w:t>
            </w:r>
          </w:p>
          <w:p w14:paraId="2E603376" w14:textId="70EBF0E2" w:rsidR="00396A95" w:rsidRDefault="00396A95" w:rsidP="003E74D4">
            <w:pPr>
              <w:pStyle w:val="Body"/>
              <w:spacing w:before="120"/>
            </w:pPr>
            <w:r>
              <w:t>NIPA considers that i</w:t>
            </w:r>
            <w:r w:rsidRPr="00D07930">
              <w:t xml:space="preserve">n relation to NSIPs it is particularly important to consider the </w:t>
            </w:r>
            <w:r>
              <w:t>likely</w:t>
            </w:r>
            <w:r w:rsidRPr="00D07930">
              <w:t xml:space="preserve"> phased nature of such large and complex projects. </w:t>
            </w:r>
            <w:r w:rsidRPr="00B45F58">
              <w:t>By way of example, the construction of a pipeline may only require a period of 3 months for a section of pipeline to be installed and the ground reinstated, which differs markedly from a construction phase area that may be established to deliver a project construction period of 10 years, typical for new nuclear installations.</w:t>
            </w:r>
          </w:p>
          <w:p w14:paraId="0E267E3E" w14:textId="7F3B7CBE" w:rsidR="00396A95" w:rsidRDefault="00396A95" w:rsidP="003E74D4">
            <w:pPr>
              <w:pStyle w:val="Body"/>
              <w:spacing w:before="120"/>
            </w:pPr>
            <w:r>
              <w:t>Complex phasing requirements</w:t>
            </w:r>
            <w:r w:rsidRPr="00D07930">
              <w:t xml:space="preserve"> may mean that, for instance, developers wish to undertake habitat enhancements in advance of commencing the main works (for example due to a need for species translocation). We recommend </w:t>
            </w:r>
            <w:r w:rsidR="009D2C0E">
              <w:t xml:space="preserve">that there is clear guidance </w:t>
            </w:r>
            <w:r w:rsidRPr="00D07930">
              <w:t xml:space="preserve">that </w:t>
            </w:r>
            <w:r>
              <w:t xml:space="preserve">in such cases </w:t>
            </w:r>
            <w:r w:rsidRPr="00D07930">
              <w:t xml:space="preserve">advance habitat enhancements </w:t>
            </w:r>
            <w:r w:rsidR="009D2C0E">
              <w:t>will</w:t>
            </w:r>
            <w:r w:rsidRPr="00D07930">
              <w:t xml:space="preserve"> be counted towards </w:t>
            </w:r>
            <w:r>
              <w:t>BNG</w:t>
            </w:r>
            <w:r w:rsidRPr="00D07930">
              <w:t xml:space="preserve"> for a scheme. </w:t>
            </w:r>
          </w:p>
          <w:p w14:paraId="3E284F3E" w14:textId="7739FE59" w:rsidR="00396A95" w:rsidRDefault="00670640" w:rsidP="003E74D4">
            <w:pPr>
              <w:pStyle w:val="Body"/>
              <w:spacing w:before="120"/>
            </w:pPr>
            <w:r>
              <w:t>T</w:t>
            </w:r>
            <w:r w:rsidR="00396A95" w:rsidRPr="00D07930">
              <w:t xml:space="preserve">here might be reasons why certain habitat enhancements are not proposed to be delivered until later in the construction of a scheme, including in a later phase of development, and we recommend that </w:t>
            </w:r>
            <w:r>
              <w:t xml:space="preserve">Biodiversity Gain Plans can permit </w:t>
            </w:r>
            <w:r w:rsidR="00396A95" w:rsidRPr="00D07930">
              <w:t xml:space="preserve">sufficient flexibility to enable this to be counted towards </w:t>
            </w:r>
            <w:r w:rsidR="00396A95">
              <w:t>BNG, where appropriate</w:t>
            </w:r>
            <w:r w:rsidR="00396A95" w:rsidRPr="00D07930">
              <w:t xml:space="preserve">. </w:t>
            </w:r>
          </w:p>
          <w:p w14:paraId="18CC5764" w14:textId="724144A8" w:rsidR="00396A95" w:rsidRDefault="00396A95" w:rsidP="003E74D4">
            <w:pPr>
              <w:pStyle w:val="Body"/>
              <w:spacing w:before="120"/>
            </w:pPr>
            <w:r>
              <w:lastRenderedPageBreak/>
              <w:t>NIPA considers that t</w:t>
            </w:r>
            <w:r w:rsidRPr="00D07930">
              <w:t xml:space="preserve">he approach </w:t>
            </w:r>
            <w:r>
              <w:t>sh</w:t>
            </w:r>
            <w:r w:rsidRPr="00D07930">
              <w:t xml:space="preserve">ould be explained and supported for projects requiring to take such an approach, and </w:t>
            </w:r>
            <w:r>
              <w:t xml:space="preserve">that this </w:t>
            </w:r>
            <w:r w:rsidRPr="00D07930">
              <w:t>would help to avoid over-reliance on the purchase of biodiversity credits from the Secretary of State due to a lack of supply of appropriate biodiversity net gain units within a short timeframe.</w:t>
            </w:r>
          </w:p>
          <w:p w14:paraId="4842AC28" w14:textId="5DF54EDD" w:rsidR="00396A95" w:rsidRPr="00A03A43" w:rsidRDefault="00396A95" w:rsidP="003E74D4">
            <w:pPr>
              <w:pStyle w:val="Body"/>
              <w:spacing w:before="120"/>
              <w:rPr>
                <w:u w:val="single"/>
              </w:rPr>
            </w:pPr>
            <w:r>
              <w:rPr>
                <w:u w:val="single"/>
              </w:rPr>
              <w:t>Other considerations</w:t>
            </w:r>
          </w:p>
          <w:p w14:paraId="6A0D43B9" w14:textId="7756BC6E" w:rsidR="00396A95" w:rsidRPr="00D07930" w:rsidRDefault="00396A95" w:rsidP="003E74D4">
            <w:pPr>
              <w:pStyle w:val="Body"/>
              <w:spacing w:before="120"/>
            </w:pPr>
            <w:r w:rsidRPr="00D07930">
              <w:t xml:space="preserve">In addition, </w:t>
            </w:r>
            <w:r>
              <w:t xml:space="preserve">NIPA </w:t>
            </w:r>
            <w:r w:rsidRPr="00D07930">
              <w:t>consider</w:t>
            </w:r>
            <w:r>
              <w:t>s</w:t>
            </w:r>
            <w:r w:rsidRPr="00D07930">
              <w:t xml:space="preserve"> that: </w:t>
            </w:r>
          </w:p>
          <w:p w14:paraId="0DD179C1" w14:textId="216ABAFA" w:rsidR="00396A95" w:rsidRPr="00D07930" w:rsidRDefault="00396A95" w:rsidP="003E74D4">
            <w:pPr>
              <w:pStyle w:val="Body"/>
              <w:numPr>
                <w:ilvl w:val="0"/>
                <w:numId w:val="47"/>
              </w:numPr>
              <w:spacing w:before="120"/>
            </w:pPr>
            <w:r w:rsidRPr="00D07930">
              <w:t xml:space="preserve">consideration needs to be given in particular to linear development and multiple </w:t>
            </w:r>
            <w:r w:rsidR="003E74D4">
              <w:t>part</w:t>
            </w:r>
            <w:r w:rsidRPr="00D07930">
              <w:t xml:space="preserve"> development that is consented through a DCO, and whether particular provision should be made to facilitate this;</w:t>
            </w:r>
          </w:p>
          <w:p w14:paraId="38389BEF" w14:textId="0C761790" w:rsidR="00396A95" w:rsidRDefault="00396A95" w:rsidP="003E74D4">
            <w:pPr>
              <w:pStyle w:val="Body"/>
              <w:numPr>
                <w:ilvl w:val="0"/>
                <w:numId w:val="47"/>
              </w:numPr>
              <w:spacing w:before="120"/>
            </w:pPr>
            <w:r w:rsidRPr="00D07930">
              <w:t xml:space="preserve">where </w:t>
            </w:r>
            <w:r w:rsidR="00870CAD">
              <w:t>DCO ‘</w:t>
            </w:r>
            <w:r w:rsidRPr="00D07930">
              <w:t>associated development</w:t>
            </w:r>
            <w:r w:rsidR="00870CAD">
              <w:t>’</w:t>
            </w:r>
            <w:r w:rsidRPr="00D07930">
              <w:t xml:space="preserve"> has been accounted for in terms of net gain </w:t>
            </w:r>
            <w:proofErr w:type="gramStart"/>
            <w:r w:rsidRPr="00D07930">
              <w:t>provision, but</w:t>
            </w:r>
            <w:proofErr w:type="gramEnd"/>
            <w:r w:rsidRPr="00D07930">
              <w:t xml:space="preserve"> is then amended and delivered through a replacement</w:t>
            </w:r>
            <w:r w:rsidR="00870CAD">
              <w:t xml:space="preserve"> / slot in</w:t>
            </w:r>
            <w:r w:rsidRPr="00D07930">
              <w:t xml:space="preserve"> Town and Country Planning Act permission, it should be able to account for BNG through that original allowance, and provision should not be required to provide a net gain again, as long as the net gain contribution that has already been accounted for has been provided. In other words, the net gain that has already been provided should be capable of being relied upon</w:t>
            </w:r>
            <w:r>
              <w:t>;</w:t>
            </w:r>
          </w:p>
          <w:p w14:paraId="4C1E3C43" w14:textId="1693D733" w:rsidR="00396A95" w:rsidRDefault="00396A95" w:rsidP="003E74D4">
            <w:pPr>
              <w:pStyle w:val="Body"/>
              <w:numPr>
                <w:ilvl w:val="0"/>
                <w:numId w:val="47"/>
              </w:numPr>
              <w:spacing w:before="120"/>
            </w:pPr>
            <w:r>
              <w:t>the Regulations and any guidance (including the Biodiversity Gain Statement) should provide clarity on any differential requirements in relation to BNG applying in relation to different elements of an NSIP project, including linear and site area</w:t>
            </w:r>
            <w:r w:rsidR="00870CAD">
              <w:t>-</w:t>
            </w:r>
            <w:r>
              <w:t>based scheme elements, and marine components;</w:t>
            </w:r>
            <w:r w:rsidR="00870CAD">
              <w:t xml:space="preserve"> and</w:t>
            </w:r>
          </w:p>
          <w:p w14:paraId="356F77F9" w14:textId="7CD0661A" w:rsidR="00396A95" w:rsidRPr="00C2626D" w:rsidRDefault="00396A95" w:rsidP="003E74D4">
            <w:pPr>
              <w:pStyle w:val="Body"/>
              <w:numPr>
                <w:ilvl w:val="0"/>
                <w:numId w:val="47"/>
              </w:numPr>
              <w:spacing w:before="120"/>
            </w:pPr>
            <w:r>
              <w:t>the Biodiversity Gain Statement should provide clear requirements in terms of ongoing management, maintenance and reporting in relation to BNG.</w:t>
            </w:r>
          </w:p>
        </w:tc>
      </w:tr>
      <w:tr w:rsidR="00396A95" w:rsidRPr="00780155" w14:paraId="74F755BB" w14:textId="66FD7055" w:rsidTr="00C81CC8">
        <w:tc>
          <w:tcPr>
            <w:tcW w:w="1128" w:type="dxa"/>
          </w:tcPr>
          <w:p w14:paraId="44CAE5B8" w14:textId="79D67F6C" w:rsidR="00396A95" w:rsidRPr="00780155" w:rsidRDefault="00396A95" w:rsidP="003E74D4">
            <w:pPr>
              <w:pStyle w:val="Body"/>
              <w:spacing w:before="120"/>
              <w:jc w:val="left"/>
              <w:rPr>
                <w:rFonts w:cs="Arial"/>
              </w:rPr>
            </w:pPr>
            <w:r w:rsidRPr="00780155">
              <w:rPr>
                <w:rFonts w:cs="Arial"/>
              </w:rPr>
              <w:lastRenderedPageBreak/>
              <w:t>18</w:t>
            </w:r>
          </w:p>
        </w:tc>
        <w:tc>
          <w:tcPr>
            <w:tcW w:w="2978" w:type="dxa"/>
          </w:tcPr>
          <w:p w14:paraId="36DB8B1A" w14:textId="4A96ADC2" w:rsidR="00396A95" w:rsidRPr="00780155" w:rsidRDefault="00396A95" w:rsidP="003E74D4">
            <w:pPr>
              <w:pStyle w:val="Body"/>
              <w:spacing w:before="120"/>
              <w:jc w:val="left"/>
              <w:rPr>
                <w:rFonts w:cs="Arial"/>
              </w:rPr>
            </w:pPr>
            <w:r w:rsidRPr="00780155">
              <w:t>Do you agree that the above approach is appropriate for setting out the biodiversity net gain requirement for NSIPs?</w:t>
            </w:r>
          </w:p>
        </w:tc>
        <w:tc>
          <w:tcPr>
            <w:tcW w:w="9923" w:type="dxa"/>
          </w:tcPr>
          <w:p w14:paraId="310FA1C9" w14:textId="1AC1A237" w:rsidR="00396A95" w:rsidRPr="00F344F3" w:rsidRDefault="00396A95" w:rsidP="003E74D4">
            <w:pPr>
              <w:pStyle w:val="Body"/>
              <w:spacing w:before="120"/>
            </w:pPr>
            <w:r w:rsidRPr="00F344F3">
              <w:rPr>
                <w:rFonts w:cs="Arial"/>
              </w:rPr>
              <w:t xml:space="preserve">NIPA endorses the drafting of a single core Biodiversity Gain Statement, so as to ensure a consistent approach across all </w:t>
            </w:r>
            <w:proofErr w:type="gramStart"/>
            <w:r w:rsidRPr="00F344F3">
              <w:rPr>
                <w:rFonts w:cs="Arial"/>
              </w:rPr>
              <w:t>NSIPs, and</w:t>
            </w:r>
            <w:proofErr w:type="gramEnd"/>
            <w:r w:rsidRPr="00F344F3">
              <w:rPr>
                <w:rFonts w:cs="Arial"/>
              </w:rPr>
              <w:t xml:space="preserve"> enable the delivery of BNG to be effectively secured to meet a reasonable programme.  This NSIP</w:t>
            </w:r>
            <w:r w:rsidR="00870CAD">
              <w:rPr>
                <w:rFonts w:cs="Arial"/>
              </w:rPr>
              <w:t>s-</w:t>
            </w:r>
            <w:r w:rsidRPr="00F344F3">
              <w:rPr>
                <w:rFonts w:cs="Arial"/>
              </w:rPr>
              <w:t xml:space="preserve">wide approach </w:t>
            </w:r>
            <w:r w:rsidR="00870CAD">
              <w:rPr>
                <w:rFonts w:cs="Arial"/>
              </w:rPr>
              <w:t xml:space="preserve">chimes with </w:t>
            </w:r>
            <w:r w:rsidRPr="00F344F3">
              <w:rPr>
                <w:rFonts w:cs="Arial"/>
              </w:rPr>
              <w:t xml:space="preserve">the </w:t>
            </w:r>
            <w:r w:rsidRPr="00F344F3">
              <w:t>BEIS Committee’s</w:t>
            </w:r>
            <w:r w:rsidR="00870CAD">
              <w:t xml:space="preserve"> recent</w:t>
            </w:r>
            <w:r w:rsidRPr="00F344F3">
              <w:t xml:space="preserve"> endorsement of NIPA’s recommendation </w:t>
            </w:r>
            <w:r w:rsidR="00870CAD">
              <w:t xml:space="preserve">in </w:t>
            </w:r>
            <w:r w:rsidRPr="00F344F3">
              <w:t>the Energy NPS</w:t>
            </w:r>
            <w:r w:rsidR="00870CAD">
              <w:t>s</w:t>
            </w:r>
            <w:r w:rsidRPr="00F344F3">
              <w:t xml:space="preserve"> consultation </w:t>
            </w:r>
            <w:r w:rsidR="00870CAD">
              <w:t xml:space="preserve">for </w:t>
            </w:r>
            <w:r w:rsidRPr="00F344F3">
              <w:t>an ‘overarching NPS approach’</w:t>
            </w:r>
            <w:r w:rsidR="00870CAD">
              <w:t xml:space="preserve"> generally</w:t>
            </w:r>
            <w:r w:rsidRPr="00F344F3">
              <w:t>.</w:t>
            </w:r>
            <w:r w:rsidR="00670640">
              <w:t xml:space="preserve">  </w:t>
            </w:r>
          </w:p>
          <w:p w14:paraId="0CFEC147" w14:textId="68CEF2B2" w:rsidR="00396A95" w:rsidRPr="00F344F3" w:rsidRDefault="00396A95" w:rsidP="003E74D4">
            <w:pPr>
              <w:pStyle w:val="Body"/>
              <w:spacing w:before="120"/>
            </w:pPr>
            <w:r w:rsidRPr="00F344F3">
              <w:t xml:space="preserve">NIPA considers that it is also important that </w:t>
            </w:r>
            <w:r>
              <w:t>consideration</w:t>
            </w:r>
            <w:r w:rsidRPr="00F344F3">
              <w:t xml:space="preserve"> is given to appropriate different or additional biodiversity net gain policy or requirements for specific types of NSIP</w:t>
            </w:r>
            <w:r w:rsidR="009D2C0E">
              <w:t xml:space="preserve"> or circumstances</w:t>
            </w:r>
            <w:r w:rsidRPr="00F344F3">
              <w:t xml:space="preserve">, and that any such </w:t>
            </w:r>
            <w:r w:rsidRPr="00F344F3">
              <w:lastRenderedPageBreak/>
              <w:t xml:space="preserve">policy or requirements are also published at least 2 years prior to the </w:t>
            </w:r>
            <w:r>
              <w:t>BNG</w:t>
            </w:r>
            <w:r w:rsidRPr="00F344F3">
              <w:t xml:space="preserve"> requirements for NSIPs taking effect in November 2025.</w:t>
            </w:r>
          </w:p>
          <w:p w14:paraId="504BB5F7" w14:textId="66D3A31E" w:rsidR="00396A95" w:rsidRPr="00F344F3" w:rsidRDefault="00396A95" w:rsidP="003E74D4">
            <w:pPr>
              <w:pStyle w:val="Body"/>
              <w:spacing w:before="120"/>
            </w:pPr>
            <w:r w:rsidRPr="00F344F3">
              <w:t>NIPA therefore considers that</w:t>
            </w:r>
            <w:r w:rsidR="00870CAD">
              <w:t>,</w:t>
            </w:r>
            <w:r w:rsidRPr="00F344F3">
              <w:t xml:space="preserve"> </w:t>
            </w:r>
            <w:r>
              <w:t>where appropriate</w:t>
            </w:r>
            <w:r w:rsidR="00870CAD">
              <w:t>,</w:t>
            </w:r>
            <w:r>
              <w:t xml:space="preserve"> </w:t>
            </w:r>
            <w:r w:rsidRPr="00F344F3">
              <w:t>specific sector annexes to the core Biodiversity Gain Statement should be provided, to appropriately address sector</w:t>
            </w:r>
            <w:r w:rsidR="00870CAD">
              <w:t>-</w:t>
            </w:r>
            <w:r w:rsidRPr="00F344F3">
              <w:t>specific nuances. It is critical that the relevant sectors are consulted to underpin such sector</w:t>
            </w:r>
            <w:r w:rsidR="00870CAD">
              <w:t>-</w:t>
            </w:r>
            <w:r w:rsidRPr="00F344F3">
              <w:t>specific guidance, including consultation on the feasibility of possible percentage targets for BNG for specific sectors. This should be underpinned by appropriate benchmarking and impact assessment, as well as monitoring o</w:t>
            </w:r>
            <w:r>
              <w:t>f</w:t>
            </w:r>
            <w:r w:rsidRPr="00F344F3">
              <w:t xml:space="preserve"> BNG delivery over time, to support ongoing policy review.  </w:t>
            </w:r>
          </w:p>
          <w:p w14:paraId="348F7B8F" w14:textId="77777777" w:rsidR="00396A95" w:rsidRDefault="00396A95" w:rsidP="003E74D4">
            <w:pPr>
              <w:pStyle w:val="Body"/>
              <w:spacing w:before="120"/>
            </w:pPr>
            <w:r w:rsidRPr="00F344F3">
              <w:t xml:space="preserve">NIPA does not consider that updating of individual NPSs to align with BNG policy requirements will be efficient and considers that this would be likely to hinder and delay the effective implementation of BNGs for NSIPs. </w:t>
            </w:r>
          </w:p>
          <w:p w14:paraId="1A31E6E9" w14:textId="6B769E4E" w:rsidR="00396A95" w:rsidRDefault="00396A95" w:rsidP="003E74D4">
            <w:pPr>
              <w:pStyle w:val="Body"/>
              <w:spacing w:before="120"/>
            </w:pPr>
            <w:r w:rsidRPr="00F344F3">
              <w:t xml:space="preserve">We note that the draft Water Resources </w:t>
            </w:r>
            <w:r w:rsidR="00870CAD">
              <w:t xml:space="preserve">Infrastructure </w:t>
            </w:r>
            <w:r w:rsidRPr="00F344F3">
              <w:t xml:space="preserve">NPS already refers to and includes certain requirements in respect of BNG. In addition, we consider that any interplay between biodiversity net gain and wider environmental net gain, such as is </w:t>
            </w:r>
            <w:r>
              <w:t>referred to in</w:t>
            </w:r>
            <w:r w:rsidRPr="00F344F3">
              <w:t xml:space="preserve"> the draft </w:t>
            </w:r>
            <w:r>
              <w:t>W</w:t>
            </w:r>
            <w:r w:rsidRPr="00F344F3">
              <w:t xml:space="preserve">ater </w:t>
            </w:r>
            <w:r>
              <w:t>R</w:t>
            </w:r>
            <w:r w:rsidRPr="00F344F3">
              <w:t xml:space="preserve">esources </w:t>
            </w:r>
            <w:r>
              <w:t>NPS</w:t>
            </w:r>
            <w:r w:rsidRPr="00F344F3">
              <w:t>, should be clearly explained.</w:t>
            </w:r>
          </w:p>
          <w:p w14:paraId="1F743452" w14:textId="7DE2B383" w:rsidR="00396A95" w:rsidRPr="00C81CC8" w:rsidRDefault="00396A95" w:rsidP="003E74D4">
            <w:pPr>
              <w:pStyle w:val="Body"/>
              <w:spacing w:before="120"/>
            </w:pPr>
            <w:r w:rsidRPr="00F344F3">
              <w:t xml:space="preserve">The Biodiversity Gain Statement should clearly explain the interplay between it and NPSs, including whether it will be the primary policy to be applied </w:t>
            </w:r>
            <w:r>
              <w:t xml:space="preserve">in relation to BNG </w:t>
            </w:r>
            <w:r w:rsidRPr="00F344F3">
              <w:t xml:space="preserve">for the purposes of determining a DCO application, to the exclusion of any existing requirements in the relevant NPS.  </w:t>
            </w:r>
            <w:r>
              <w:t xml:space="preserve">The Biodiversity Gain Statement should </w:t>
            </w:r>
            <w:r w:rsidR="00870CAD">
              <w:t xml:space="preserve">also </w:t>
            </w:r>
            <w:r>
              <w:t>be identified as a prescribed document in the Infrastructure Planning (Applications: Prescribed Forms and Procedure) Regulations</w:t>
            </w:r>
            <w:r w:rsidR="00870CAD">
              <w:t>, which then apply for the purposes of the determination of DCO applications under ss104 or 105 of the Planning Act 2008</w:t>
            </w:r>
            <w:r>
              <w:t xml:space="preserve">. </w:t>
            </w:r>
          </w:p>
        </w:tc>
      </w:tr>
      <w:tr w:rsidR="00396A95" w:rsidRPr="00780155" w14:paraId="58B7DCA0" w14:textId="48CC4DDC" w:rsidTr="00C81CC8">
        <w:tc>
          <w:tcPr>
            <w:tcW w:w="1128" w:type="dxa"/>
          </w:tcPr>
          <w:p w14:paraId="275949D3" w14:textId="115413A0" w:rsidR="00396A95" w:rsidRPr="00780155" w:rsidRDefault="00396A95" w:rsidP="003E74D4">
            <w:pPr>
              <w:pStyle w:val="Body"/>
              <w:spacing w:before="120"/>
              <w:jc w:val="left"/>
              <w:rPr>
                <w:rFonts w:cs="Arial"/>
              </w:rPr>
            </w:pPr>
            <w:r w:rsidRPr="00780155">
              <w:rPr>
                <w:rFonts w:cs="Arial"/>
              </w:rPr>
              <w:lastRenderedPageBreak/>
              <w:t>19</w:t>
            </w:r>
          </w:p>
        </w:tc>
        <w:tc>
          <w:tcPr>
            <w:tcW w:w="2978" w:type="dxa"/>
          </w:tcPr>
          <w:p w14:paraId="2771FC98" w14:textId="2DA02B2E" w:rsidR="00396A95" w:rsidRPr="00780155" w:rsidRDefault="00396A95" w:rsidP="003E74D4">
            <w:pPr>
              <w:pStyle w:val="Body"/>
              <w:spacing w:before="120"/>
              <w:jc w:val="left"/>
              <w:rPr>
                <w:rFonts w:cs="Arial"/>
              </w:rPr>
            </w:pPr>
            <w:r w:rsidRPr="00780155">
              <w:t>Do you consider that the November 2025 is an appropriate date from which NSIPs accepted for examination will be subject to the biodiversity net gain requirement?</w:t>
            </w:r>
          </w:p>
        </w:tc>
        <w:tc>
          <w:tcPr>
            <w:tcW w:w="9923" w:type="dxa"/>
          </w:tcPr>
          <w:p w14:paraId="3A810AAB" w14:textId="2A660C01" w:rsidR="00396A95" w:rsidRPr="00003909" w:rsidRDefault="00396A95" w:rsidP="003E74D4">
            <w:pPr>
              <w:pStyle w:val="Body"/>
              <w:spacing w:before="120"/>
              <w:rPr>
                <w:rFonts w:cs="Arial"/>
              </w:rPr>
            </w:pPr>
            <w:r>
              <w:rPr>
                <w:rFonts w:cs="Arial"/>
              </w:rPr>
              <w:t>NIPA</w:t>
            </w:r>
            <w:r w:rsidRPr="00003909">
              <w:rPr>
                <w:rFonts w:cs="Arial"/>
              </w:rPr>
              <w:t xml:space="preserve"> consider</w:t>
            </w:r>
            <w:r>
              <w:rPr>
                <w:rFonts w:cs="Arial"/>
              </w:rPr>
              <w:t>s</w:t>
            </w:r>
            <w:r w:rsidRPr="00003909">
              <w:rPr>
                <w:rFonts w:cs="Arial"/>
              </w:rPr>
              <w:t xml:space="preserve"> that November 2025 is an appropriate date from which NSIPs are subject to the biodiversity net gain requirement. However, it is crucial that: </w:t>
            </w:r>
          </w:p>
          <w:p w14:paraId="572525ED" w14:textId="3B161CF3" w:rsidR="00396A95" w:rsidRPr="00003909" w:rsidRDefault="00396A95" w:rsidP="003E74D4">
            <w:pPr>
              <w:pStyle w:val="Body"/>
              <w:numPr>
                <w:ilvl w:val="0"/>
                <w:numId w:val="48"/>
              </w:numPr>
              <w:spacing w:before="120"/>
              <w:rPr>
                <w:rFonts w:cs="Arial"/>
              </w:rPr>
            </w:pPr>
            <w:r w:rsidRPr="00003909">
              <w:rPr>
                <w:rFonts w:cs="Arial"/>
              </w:rPr>
              <w:t xml:space="preserve">the Regulations in relation to biodiversity net gain for NSIPs should be made at least 2 years prior to the requirements taking effect, and that clear guidance is provided to support </w:t>
            </w:r>
            <w:r>
              <w:rPr>
                <w:rFonts w:cs="Arial"/>
              </w:rPr>
              <w:t xml:space="preserve">the application of </w:t>
            </w:r>
            <w:r w:rsidRPr="00003909">
              <w:rPr>
                <w:rFonts w:cs="Arial"/>
              </w:rPr>
              <w:t>these</w:t>
            </w:r>
            <w:r>
              <w:rPr>
                <w:rFonts w:cs="Arial"/>
              </w:rPr>
              <w:t>;</w:t>
            </w:r>
          </w:p>
          <w:p w14:paraId="472CE3B1" w14:textId="60259308" w:rsidR="00396A95" w:rsidRPr="00003909" w:rsidRDefault="00396A95" w:rsidP="003E74D4">
            <w:pPr>
              <w:pStyle w:val="Body"/>
              <w:numPr>
                <w:ilvl w:val="0"/>
                <w:numId w:val="48"/>
              </w:numPr>
              <w:spacing w:before="120"/>
              <w:rPr>
                <w:rFonts w:cs="Arial"/>
              </w:rPr>
            </w:pPr>
            <w:r w:rsidRPr="00003909">
              <w:rPr>
                <w:rFonts w:cs="Arial"/>
              </w:rPr>
              <w:lastRenderedPageBreak/>
              <w:t xml:space="preserve">the </w:t>
            </w:r>
            <w:r>
              <w:rPr>
                <w:rFonts w:cs="Arial"/>
              </w:rPr>
              <w:t>B</w:t>
            </w:r>
            <w:r w:rsidRPr="00003909">
              <w:rPr>
                <w:rFonts w:cs="Arial"/>
              </w:rPr>
              <w:t xml:space="preserve">iodiversity </w:t>
            </w:r>
            <w:r>
              <w:rPr>
                <w:rFonts w:cs="Arial"/>
              </w:rPr>
              <w:t>G</w:t>
            </w:r>
            <w:r w:rsidRPr="00003909">
              <w:rPr>
                <w:rFonts w:cs="Arial"/>
              </w:rPr>
              <w:t xml:space="preserve">ain </w:t>
            </w:r>
            <w:r>
              <w:rPr>
                <w:rFonts w:cs="Arial"/>
              </w:rPr>
              <w:t>S</w:t>
            </w:r>
            <w:r w:rsidRPr="00003909">
              <w:rPr>
                <w:rFonts w:cs="Arial"/>
              </w:rPr>
              <w:t xml:space="preserve">tatement and any </w:t>
            </w:r>
            <w:r w:rsidR="00870CAD">
              <w:rPr>
                <w:rFonts w:cs="Arial"/>
              </w:rPr>
              <w:t>sector</w:t>
            </w:r>
            <w:r w:rsidRPr="00003909">
              <w:rPr>
                <w:rFonts w:cs="Arial"/>
              </w:rPr>
              <w:t xml:space="preserve">-specific </w:t>
            </w:r>
            <w:r>
              <w:rPr>
                <w:rFonts w:cs="Arial"/>
              </w:rPr>
              <w:t>annexes</w:t>
            </w:r>
            <w:r w:rsidRPr="00003909">
              <w:rPr>
                <w:rFonts w:cs="Arial"/>
              </w:rPr>
              <w:t xml:space="preserve"> are published at least 2 years prior to the requirements taking effect</w:t>
            </w:r>
            <w:r>
              <w:rPr>
                <w:rFonts w:cs="Arial"/>
              </w:rPr>
              <w:t>;</w:t>
            </w:r>
          </w:p>
          <w:p w14:paraId="2027DB0A" w14:textId="7A038E84" w:rsidR="00396A95" w:rsidRPr="00003909" w:rsidRDefault="00396A95" w:rsidP="003E74D4">
            <w:pPr>
              <w:pStyle w:val="Body"/>
              <w:numPr>
                <w:ilvl w:val="0"/>
                <w:numId w:val="48"/>
              </w:numPr>
              <w:spacing w:before="120"/>
              <w:rPr>
                <w:rFonts w:cs="Arial"/>
              </w:rPr>
            </w:pPr>
            <w:r w:rsidRPr="00003909">
              <w:rPr>
                <w:rFonts w:cs="Arial"/>
              </w:rPr>
              <w:t xml:space="preserve">there is clarity on the status of the </w:t>
            </w:r>
            <w:r>
              <w:rPr>
                <w:rFonts w:cs="Arial"/>
              </w:rPr>
              <w:t>B</w:t>
            </w:r>
            <w:r w:rsidRPr="00003909">
              <w:rPr>
                <w:rFonts w:cs="Arial"/>
              </w:rPr>
              <w:t xml:space="preserve">iodiversity </w:t>
            </w:r>
            <w:r>
              <w:rPr>
                <w:rFonts w:cs="Arial"/>
              </w:rPr>
              <w:t>G</w:t>
            </w:r>
            <w:r w:rsidRPr="00003909">
              <w:rPr>
                <w:rFonts w:cs="Arial"/>
              </w:rPr>
              <w:t xml:space="preserve">ain </w:t>
            </w:r>
            <w:r>
              <w:rPr>
                <w:rFonts w:cs="Arial"/>
              </w:rPr>
              <w:t>S</w:t>
            </w:r>
            <w:r w:rsidRPr="00003909">
              <w:rPr>
                <w:rFonts w:cs="Arial"/>
              </w:rPr>
              <w:t xml:space="preserve">tatement in the </w:t>
            </w:r>
            <w:r w:rsidR="00870CAD">
              <w:rPr>
                <w:rFonts w:cs="Arial"/>
              </w:rPr>
              <w:t xml:space="preserve">DCO </w:t>
            </w:r>
            <w:r w:rsidRPr="00003909">
              <w:rPr>
                <w:rFonts w:cs="Arial"/>
              </w:rPr>
              <w:t>decision-making process</w:t>
            </w:r>
            <w:r>
              <w:rPr>
                <w:rFonts w:cs="Arial"/>
              </w:rPr>
              <w:t>;</w:t>
            </w:r>
            <w:r w:rsidRPr="00003909">
              <w:rPr>
                <w:rFonts w:cs="Arial"/>
              </w:rPr>
              <w:t xml:space="preserve"> </w:t>
            </w:r>
          </w:p>
          <w:p w14:paraId="32D766D1" w14:textId="77777777" w:rsidR="003E74D4" w:rsidRDefault="00396A95" w:rsidP="003E74D4">
            <w:pPr>
              <w:pStyle w:val="Body"/>
              <w:numPr>
                <w:ilvl w:val="0"/>
                <w:numId w:val="48"/>
              </w:numPr>
              <w:spacing w:before="120"/>
              <w:rPr>
                <w:rFonts w:cs="Arial"/>
              </w:rPr>
            </w:pPr>
            <w:r w:rsidRPr="00003909">
              <w:rPr>
                <w:rFonts w:cs="Arial"/>
              </w:rPr>
              <w:t xml:space="preserve">the final Biodiversity Metric for use pursuant to the biodiversity gain statement and any </w:t>
            </w:r>
            <w:r w:rsidR="00870CAD">
              <w:rPr>
                <w:rFonts w:cs="Arial"/>
              </w:rPr>
              <w:t>sector</w:t>
            </w:r>
            <w:r w:rsidRPr="00003909">
              <w:rPr>
                <w:rFonts w:cs="Arial"/>
              </w:rPr>
              <w:t>-specific statements is published in final form at least 2 years prior to the requirements taking effect</w:t>
            </w:r>
            <w:r>
              <w:rPr>
                <w:rFonts w:cs="Arial"/>
              </w:rPr>
              <w:t>;</w:t>
            </w:r>
            <w:r w:rsidR="00870CAD">
              <w:rPr>
                <w:rFonts w:cs="Arial"/>
              </w:rPr>
              <w:t xml:space="preserve"> and</w:t>
            </w:r>
          </w:p>
          <w:p w14:paraId="5C0443F7" w14:textId="29FB9031" w:rsidR="00396A95" w:rsidRPr="003E74D4" w:rsidRDefault="00396A95" w:rsidP="003E74D4">
            <w:pPr>
              <w:pStyle w:val="Body"/>
              <w:numPr>
                <w:ilvl w:val="0"/>
                <w:numId w:val="48"/>
              </w:numPr>
              <w:spacing w:before="120"/>
              <w:rPr>
                <w:rFonts w:cs="Arial"/>
              </w:rPr>
            </w:pPr>
            <w:r w:rsidRPr="003E74D4">
              <w:rPr>
                <w:rFonts w:cs="Arial"/>
              </w:rPr>
              <w:t>appropriate guidance is prepared and published as early as possible to support relevant exemptions and the information requirements at all stages of the process, including application document requirements for acceptance.</w:t>
            </w:r>
          </w:p>
          <w:p w14:paraId="5AF41DFF" w14:textId="13F9ACFB" w:rsidR="00870CAD" w:rsidRPr="001D7A8E" w:rsidRDefault="00396A95" w:rsidP="003E74D4">
            <w:pPr>
              <w:pStyle w:val="Body"/>
              <w:spacing w:before="120"/>
              <w:rPr>
                <w:rFonts w:cs="Arial"/>
              </w:rPr>
            </w:pPr>
            <w:r w:rsidRPr="001D7A8E">
              <w:rPr>
                <w:rFonts w:cs="Arial"/>
              </w:rPr>
              <w:t>The risk of not providing the Regulations, guidance, Biodiversity Gain Statement and finalised Biodiversity Metric at least 2 years prior to the November 2025 implementation date is that the early application of BNG on NSIP projects is likely to be characterised by excessive utilisation of credits and making use of off</w:t>
            </w:r>
            <w:r>
              <w:rPr>
                <w:rFonts w:cs="Arial"/>
              </w:rPr>
              <w:t>-</w:t>
            </w:r>
            <w:r w:rsidRPr="001D7A8E">
              <w:rPr>
                <w:rFonts w:cs="Arial"/>
              </w:rPr>
              <w:t>site provision</w:t>
            </w:r>
            <w:r>
              <w:rPr>
                <w:rFonts w:cs="Arial"/>
              </w:rPr>
              <w:t>,</w:t>
            </w:r>
            <w:r w:rsidRPr="001D7A8E">
              <w:rPr>
                <w:rFonts w:cs="Arial"/>
              </w:rPr>
              <w:t xml:space="preserve"> rather than securing local beneficial outcomes using local BNG provision. </w:t>
            </w:r>
          </w:p>
        </w:tc>
      </w:tr>
      <w:tr w:rsidR="00396A95" w:rsidRPr="00780155" w14:paraId="34CD64F8" w14:textId="38C8A47F" w:rsidTr="00C81CC8">
        <w:tc>
          <w:tcPr>
            <w:tcW w:w="1128" w:type="dxa"/>
          </w:tcPr>
          <w:p w14:paraId="29139B0A" w14:textId="445C7C0A" w:rsidR="00396A95" w:rsidRPr="00780155" w:rsidRDefault="00396A95" w:rsidP="003E74D4">
            <w:pPr>
              <w:pStyle w:val="Body"/>
              <w:spacing w:before="120"/>
              <w:jc w:val="left"/>
              <w:rPr>
                <w:rFonts w:cs="Arial"/>
              </w:rPr>
            </w:pPr>
            <w:r w:rsidRPr="00780155">
              <w:rPr>
                <w:rFonts w:cs="Arial"/>
              </w:rPr>
              <w:lastRenderedPageBreak/>
              <w:t>20</w:t>
            </w:r>
          </w:p>
        </w:tc>
        <w:tc>
          <w:tcPr>
            <w:tcW w:w="2978" w:type="dxa"/>
          </w:tcPr>
          <w:p w14:paraId="702F9F41" w14:textId="434CD3ED" w:rsidR="00396A95" w:rsidRPr="00780155" w:rsidRDefault="00396A95" w:rsidP="003E74D4">
            <w:pPr>
              <w:pStyle w:val="Body"/>
              <w:spacing w:before="120"/>
              <w:jc w:val="left"/>
              <w:rPr>
                <w:rFonts w:cs="Arial"/>
              </w:rPr>
            </w:pPr>
            <w:r w:rsidRPr="00780155">
              <w:t>Do you agree that a project’s acceptance for examination is a suitable threshold upon which to set transition arrangements?</w:t>
            </w:r>
          </w:p>
        </w:tc>
        <w:tc>
          <w:tcPr>
            <w:tcW w:w="9923" w:type="dxa"/>
          </w:tcPr>
          <w:p w14:paraId="23323FC4" w14:textId="6C6DC816" w:rsidR="00396A95" w:rsidRPr="00FB2CDB" w:rsidRDefault="00396A95" w:rsidP="003E74D4">
            <w:pPr>
              <w:pStyle w:val="Body"/>
              <w:spacing w:before="120"/>
              <w:rPr>
                <w:rFonts w:cs="Arial"/>
              </w:rPr>
            </w:pPr>
            <w:r w:rsidRPr="00FB2CDB">
              <w:rPr>
                <w:rFonts w:cs="Arial"/>
              </w:rPr>
              <w:t xml:space="preserve">No. An applicant making a submission to PINs is already committed to the project definition and BNG approach at </w:t>
            </w:r>
            <w:r>
              <w:rPr>
                <w:rFonts w:cs="Arial"/>
              </w:rPr>
              <w:t xml:space="preserve">application </w:t>
            </w:r>
            <w:r w:rsidRPr="00FB2CDB">
              <w:rPr>
                <w:rFonts w:cs="Arial"/>
              </w:rPr>
              <w:t xml:space="preserve">submission. NIPA </w:t>
            </w:r>
            <w:r>
              <w:rPr>
                <w:rFonts w:cs="Arial"/>
              </w:rPr>
              <w:t xml:space="preserve">therefore </w:t>
            </w:r>
            <w:r w:rsidRPr="00FB2CDB">
              <w:rPr>
                <w:rFonts w:cs="Arial"/>
              </w:rPr>
              <w:t xml:space="preserve">considers that, at </w:t>
            </w:r>
            <w:r>
              <w:rPr>
                <w:rFonts w:cs="Arial"/>
              </w:rPr>
              <w:t xml:space="preserve">the </w:t>
            </w:r>
            <w:r w:rsidRPr="00FB2CDB">
              <w:rPr>
                <w:rFonts w:cs="Arial"/>
              </w:rPr>
              <w:t>latest, submission of a DCO application would be a more appropriate threshold for setting the transition arrangements. This is because otherwise projects would risk being in a position where they had submitted their DCO application, and the requirements could take effect between submission and examination, which would be likely to result in withdrawal of the application or in non-acceptance of the DCO application. An applicant would then have to remedy the position and consider re</w:t>
            </w:r>
            <w:r w:rsidR="00870CAD">
              <w:rPr>
                <w:rFonts w:cs="Arial"/>
              </w:rPr>
              <w:t>-</w:t>
            </w:r>
            <w:r w:rsidRPr="00FB2CDB">
              <w:rPr>
                <w:rFonts w:cs="Arial"/>
              </w:rPr>
              <w:t xml:space="preserve">submission, causing delay and additional cost. The submission date is within an applicant’s control, and so they can understand and align with this more readily than acceptance. </w:t>
            </w:r>
          </w:p>
          <w:p w14:paraId="145BF801" w14:textId="3DA3CC5B" w:rsidR="00396A95" w:rsidRPr="00FB2CDB" w:rsidRDefault="00396A95" w:rsidP="003E74D4">
            <w:pPr>
              <w:pStyle w:val="Body"/>
              <w:spacing w:before="120"/>
              <w:rPr>
                <w:rFonts w:cs="Arial"/>
              </w:rPr>
            </w:pPr>
            <w:r w:rsidRPr="00FB2CDB">
              <w:rPr>
                <w:rFonts w:cs="Arial"/>
              </w:rPr>
              <w:t>The earlier certainty on requirements and appropriate guidance can be provided, the better any negative effects will be mitigated.</w:t>
            </w:r>
          </w:p>
          <w:p w14:paraId="6DFD6B89" w14:textId="6B0CC202" w:rsidR="00396A95" w:rsidRPr="00FB2CDB" w:rsidRDefault="00396A95" w:rsidP="003E74D4">
            <w:pPr>
              <w:pStyle w:val="Body"/>
              <w:spacing w:before="120"/>
              <w:rPr>
                <w:rFonts w:cs="Arial"/>
              </w:rPr>
            </w:pPr>
            <w:r w:rsidRPr="00FB2CDB">
              <w:rPr>
                <w:rFonts w:cs="Arial"/>
              </w:rPr>
              <w:t xml:space="preserve">If the Regulations, guidance, Biodiversity Gain Statement and finalised Biodiversity Metric are not provided at least 2 years prior to the November 2025 implementation date, NIPA considers that it would be necessary to provide transitional arrangements based on an earlier point in a project’s development and promotion, such as </w:t>
            </w:r>
            <w:r w:rsidRPr="00FB2CDB">
              <w:rPr>
                <w:rFonts w:cs="Arial"/>
              </w:rPr>
              <w:lastRenderedPageBreak/>
              <w:t xml:space="preserve">EIA scoping. NIPA notes that this is the approach that was adopted </w:t>
            </w:r>
            <w:r>
              <w:rPr>
                <w:rFonts w:cs="Arial"/>
              </w:rPr>
              <w:t xml:space="preserve">for transitional arrangements </w:t>
            </w:r>
            <w:r w:rsidRPr="00FB2CDB">
              <w:rPr>
                <w:rFonts w:cs="Arial"/>
              </w:rPr>
              <w:t>in the most recent update of the EIA Regulations for NSIPs.</w:t>
            </w:r>
          </w:p>
        </w:tc>
      </w:tr>
      <w:tr w:rsidR="00396A95" w:rsidRPr="00780155" w14:paraId="687B3DD3" w14:textId="3FECF5FB" w:rsidTr="00C81CC8">
        <w:tc>
          <w:tcPr>
            <w:tcW w:w="1128" w:type="dxa"/>
          </w:tcPr>
          <w:p w14:paraId="7A136A72" w14:textId="070857E7" w:rsidR="00396A95" w:rsidRPr="00780155" w:rsidRDefault="00396A95" w:rsidP="003E74D4">
            <w:pPr>
              <w:pStyle w:val="Body"/>
              <w:spacing w:before="120"/>
              <w:jc w:val="left"/>
              <w:rPr>
                <w:rFonts w:cs="Arial"/>
              </w:rPr>
            </w:pPr>
            <w:r w:rsidRPr="00780155">
              <w:rPr>
                <w:rFonts w:cs="Arial"/>
              </w:rPr>
              <w:lastRenderedPageBreak/>
              <w:t>21</w:t>
            </w:r>
          </w:p>
        </w:tc>
        <w:tc>
          <w:tcPr>
            <w:tcW w:w="2978" w:type="dxa"/>
          </w:tcPr>
          <w:p w14:paraId="55E79E5C" w14:textId="5ECF64DF" w:rsidR="00396A95" w:rsidRPr="00780155" w:rsidRDefault="00396A95" w:rsidP="003E74D4">
            <w:pPr>
              <w:pStyle w:val="Body"/>
              <w:spacing w:before="120"/>
              <w:jc w:val="left"/>
              <w:rPr>
                <w:rFonts w:cs="Arial"/>
              </w:rPr>
            </w:pPr>
            <w:r w:rsidRPr="00780155">
              <w:t>Would you be supportive of an approach which facilitates delivery of biodiversity net gain using existing landholdings by requiring a lighter-touch registration process, whilst maintaining transparency?</w:t>
            </w:r>
          </w:p>
        </w:tc>
        <w:tc>
          <w:tcPr>
            <w:tcW w:w="9923" w:type="dxa"/>
          </w:tcPr>
          <w:p w14:paraId="2093B9AA" w14:textId="0E74191F" w:rsidR="00396A95" w:rsidRPr="006F261A" w:rsidRDefault="00396A95" w:rsidP="003E74D4">
            <w:pPr>
              <w:pStyle w:val="Body"/>
              <w:spacing w:before="120"/>
              <w:rPr>
                <w:rFonts w:cs="Arial"/>
              </w:rPr>
            </w:pPr>
            <w:r w:rsidRPr="006F261A">
              <w:rPr>
                <w:rFonts w:cs="Arial"/>
              </w:rPr>
              <w:t>Yes. NIPA considers that the portfolio approach as an option for the delivery of net gain for NSIPs could be positive, as it could allow appropriate strategies to come forward on appropriate sites within a large portfolio of sites. In some cases, this could deliver better outcomes for biodiversity, as long as it is done in such a way as to ensure that the BNG is properly accounted for and monitored, so as to ensure the provision of appropriate and genuine net gains.</w:t>
            </w:r>
          </w:p>
          <w:p w14:paraId="48FF0BF0" w14:textId="098B2D44" w:rsidR="00396A95" w:rsidRPr="006F261A" w:rsidRDefault="00396A95" w:rsidP="003E74D4">
            <w:pPr>
              <w:pStyle w:val="Body"/>
              <w:spacing w:before="120"/>
              <w:rPr>
                <w:rFonts w:cs="Arial"/>
              </w:rPr>
            </w:pPr>
            <w:r w:rsidRPr="006F261A">
              <w:rPr>
                <w:rFonts w:cs="Arial"/>
              </w:rPr>
              <w:t>NIPA is therefore supportive of an approach which facilitates delivery of BNG using existing landholdings but set within clear guidance in relation to hierarchy of preferred location, justification of approach and transparency. NIPA considers that it is not clear from the Consultation what ‘lighter touch registration’ would entail and recommends further consultation and engagement on this matter.</w:t>
            </w:r>
          </w:p>
          <w:p w14:paraId="1D2C1D31" w14:textId="46BB1046" w:rsidR="00396A95" w:rsidRPr="006F261A" w:rsidRDefault="00396A95" w:rsidP="003E74D4">
            <w:pPr>
              <w:pStyle w:val="Body"/>
              <w:spacing w:before="120"/>
              <w:rPr>
                <w:rFonts w:cs="Arial"/>
              </w:rPr>
            </w:pPr>
            <w:r w:rsidRPr="006F261A">
              <w:rPr>
                <w:rFonts w:cs="Arial"/>
              </w:rPr>
              <w:t xml:space="preserve">NIPA recommends that guidance is provided on the nature and justification of provision of BNG on existing landholdings, expressing a clear hierarchy of preference in relation to the location of BNG provision. NIPA considers that generally, in line with the mitigation hierarchy, the provision of local BNG is preferable in terms of delivering benefits to the local environment and local communities affected by the NSIP. </w:t>
            </w:r>
          </w:p>
          <w:p w14:paraId="57DC985B" w14:textId="27566AA2" w:rsidR="00396A95" w:rsidRPr="006F261A" w:rsidRDefault="00396A95" w:rsidP="003E74D4">
            <w:pPr>
              <w:pStyle w:val="Body"/>
              <w:spacing w:before="120"/>
              <w:rPr>
                <w:rFonts w:cs="Arial"/>
              </w:rPr>
            </w:pPr>
            <w:r w:rsidRPr="006F261A">
              <w:rPr>
                <w:rFonts w:cs="Arial"/>
              </w:rPr>
              <w:t xml:space="preserve">However, NIPA acknowledges that there will be instances where provision of local BNG may result in fractured habitats isolated within a wider environment, and that there could be benefits in aggregation of BNG provision on appropriate existing landholdings, including the potential for public access, more extensive and resilient habitats and economies of scale in management over time. Such portfolio approaches could also support wider government policies outlined in the Nature Recovery Green Paper.   </w:t>
            </w:r>
          </w:p>
          <w:p w14:paraId="73688715" w14:textId="4CE97489" w:rsidR="00396A95" w:rsidRPr="006F261A" w:rsidRDefault="00396A95" w:rsidP="003E74D4">
            <w:pPr>
              <w:pStyle w:val="Body"/>
              <w:spacing w:before="120"/>
              <w:rPr>
                <w:rFonts w:cs="Arial"/>
              </w:rPr>
            </w:pPr>
            <w:r w:rsidRPr="006F261A">
              <w:rPr>
                <w:rFonts w:cs="Arial"/>
              </w:rPr>
              <w:t>In this context NIPA considers that it is important to be mindful of the purpose for which land is held by statutory undertakers, and to ensure that land which is to be used for BNG provision is suitable to endure for BNG purposes and contribute to wider nature recovery. Careful consideration should be given to whether such land can be released and managed and monitored, and accounted for, for BNG purposes</w:t>
            </w:r>
            <w:r>
              <w:rPr>
                <w:rFonts w:cs="Arial"/>
              </w:rPr>
              <w:t>.</w:t>
            </w:r>
          </w:p>
          <w:p w14:paraId="31B30E82" w14:textId="718E2474" w:rsidR="00396A95" w:rsidRPr="00692F0D" w:rsidRDefault="00396A95" w:rsidP="003E74D4">
            <w:pPr>
              <w:pStyle w:val="Body"/>
              <w:spacing w:before="120"/>
              <w:rPr>
                <w:rFonts w:cs="Arial"/>
              </w:rPr>
            </w:pPr>
            <w:r w:rsidRPr="006F261A">
              <w:rPr>
                <w:rFonts w:cs="Arial"/>
              </w:rPr>
              <w:lastRenderedPageBreak/>
              <w:t>NIPA notes that there are likely to be sector</w:t>
            </w:r>
            <w:r w:rsidR="00870CAD">
              <w:rPr>
                <w:rFonts w:cs="Arial"/>
              </w:rPr>
              <w:t>-</w:t>
            </w:r>
            <w:r w:rsidRPr="006F261A">
              <w:rPr>
                <w:rFonts w:cs="Arial"/>
              </w:rPr>
              <w:t>specific considerations in relation to use of existing landholdings and recommends that the organisations mentioned</w:t>
            </w:r>
            <w:r w:rsidR="00870CAD">
              <w:rPr>
                <w:rFonts w:cs="Arial"/>
              </w:rPr>
              <w:t>,</w:t>
            </w:r>
            <w:r w:rsidRPr="006F261A">
              <w:rPr>
                <w:rFonts w:cs="Arial"/>
              </w:rPr>
              <w:t xml:space="preserve"> along with others, are fully engaged and consulted. </w:t>
            </w:r>
          </w:p>
        </w:tc>
      </w:tr>
      <w:tr w:rsidR="00396A95" w:rsidRPr="00780155" w14:paraId="5543869C" w14:textId="66A413BB" w:rsidTr="00C81CC8">
        <w:tc>
          <w:tcPr>
            <w:tcW w:w="1128" w:type="dxa"/>
          </w:tcPr>
          <w:p w14:paraId="1044E599" w14:textId="181110C1" w:rsidR="00396A95" w:rsidRPr="00780155" w:rsidRDefault="00396A95" w:rsidP="003E74D4">
            <w:pPr>
              <w:pStyle w:val="Body"/>
              <w:spacing w:before="120"/>
              <w:jc w:val="left"/>
              <w:rPr>
                <w:rFonts w:cs="Arial"/>
              </w:rPr>
            </w:pPr>
            <w:r w:rsidRPr="00780155">
              <w:rPr>
                <w:rFonts w:cs="Arial"/>
              </w:rPr>
              <w:lastRenderedPageBreak/>
              <w:t>22</w:t>
            </w:r>
          </w:p>
        </w:tc>
        <w:tc>
          <w:tcPr>
            <w:tcW w:w="2978" w:type="dxa"/>
          </w:tcPr>
          <w:p w14:paraId="05DC017C" w14:textId="77777777" w:rsidR="00396A95" w:rsidRPr="009049D5" w:rsidRDefault="00396A95" w:rsidP="003E74D4">
            <w:pPr>
              <w:pStyle w:val="Body"/>
              <w:spacing w:before="120"/>
              <w:jc w:val="left"/>
            </w:pPr>
            <w:r w:rsidRPr="009049D5">
              <w:t>Do you consider that this broad ‘biodiversity gain plan’ approach would work in relation to NSIPs?</w:t>
            </w:r>
          </w:p>
          <w:p w14:paraId="3E28D548" w14:textId="77777777" w:rsidR="00396A95" w:rsidRPr="00274682" w:rsidRDefault="00396A95" w:rsidP="003E74D4">
            <w:pPr>
              <w:pStyle w:val="Body"/>
              <w:spacing w:before="120"/>
              <w:jc w:val="left"/>
              <w:rPr>
                <w:rFonts w:cs="Arial"/>
                <w:highlight w:val="magenta"/>
              </w:rPr>
            </w:pPr>
          </w:p>
        </w:tc>
        <w:tc>
          <w:tcPr>
            <w:tcW w:w="9923" w:type="dxa"/>
          </w:tcPr>
          <w:p w14:paraId="0C9D53BE" w14:textId="0AA25274" w:rsidR="00396A95" w:rsidRPr="00A74B00" w:rsidRDefault="00396A95" w:rsidP="003E74D4">
            <w:pPr>
              <w:pStyle w:val="Body"/>
              <w:spacing w:before="120"/>
            </w:pPr>
            <w:r w:rsidRPr="00A74B00">
              <w:t xml:space="preserve">NIPA endorses the broad Biodiversity Gain Plan approach. </w:t>
            </w:r>
          </w:p>
          <w:p w14:paraId="2A9BB7B0" w14:textId="7BF29896" w:rsidR="00396A95" w:rsidRPr="00A74B00" w:rsidRDefault="00396A95" w:rsidP="003E74D4">
            <w:pPr>
              <w:pStyle w:val="Body"/>
              <w:spacing w:before="120"/>
            </w:pPr>
            <w:r w:rsidRPr="00A74B00">
              <w:t xml:space="preserve">However, NIPA recommends that the process is not overly prescriptive in terms of how the commitments, proposals and controls are brought forward through agreed DCO mechanisms. NIPA considers that the regime should generally be looking to secure simplification of the processes overall, to ensure smooth delivery. The general suggested approach should be to secure conformity with an outline or draft proposal submitted as part of the application using agreed document tools/ processes, rather than introducing additional onerous layers of complexity to the process, noting that additional consenting and prescriptive steps that will slow down the DCO process. </w:t>
            </w:r>
          </w:p>
          <w:p w14:paraId="3F8AF58F" w14:textId="637BA4FC" w:rsidR="00396A95" w:rsidRPr="00C81CC8" w:rsidRDefault="00396A95" w:rsidP="003E74D4">
            <w:pPr>
              <w:pStyle w:val="Body"/>
              <w:spacing w:before="120"/>
            </w:pPr>
            <w:r w:rsidRPr="00A74B00">
              <w:t>NIPA considers that it is important to ensure that there is either an appropriate level of flexibility within Biodiversity Gain Plans to enable adaptive delivery within appropriate parameters, or that there is a simple process to enable amendments to be made to a biodiversity gain plan after DCO grant, so as to enable plans to be developed and adapted as more detailed design is developed, and to enable opportunities for, for example, additional cumulative benefits with other schemes to be taken advantage of, or co-benefits such as additional carbon sequestration or local community benefits to be delivered.</w:t>
            </w:r>
          </w:p>
        </w:tc>
      </w:tr>
      <w:tr w:rsidR="00396A95" w:rsidRPr="00780155" w14:paraId="28A499DA" w14:textId="712DE918" w:rsidTr="00C81CC8">
        <w:tc>
          <w:tcPr>
            <w:tcW w:w="1128" w:type="dxa"/>
          </w:tcPr>
          <w:p w14:paraId="66C5212A" w14:textId="16DAD0F8" w:rsidR="00396A95" w:rsidRPr="00780155" w:rsidRDefault="00396A95" w:rsidP="003E74D4">
            <w:pPr>
              <w:pStyle w:val="Body"/>
              <w:spacing w:before="120"/>
              <w:jc w:val="left"/>
              <w:rPr>
                <w:rFonts w:cs="Arial"/>
              </w:rPr>
            </w:pPr>
            <w:r w:rsidRPr="00780155">
              <w:rPr>
                <w:rFonts w:cs="Arial"/>
              </w:rPr>
              <w:t>23</w:t>
            </w:r>
          </w:p>
        </w:tc>
        <w:tc>
          <w:tcPr>
            <w:tcW w:w="2978" w:type="dxa"/>
          </w:tcPr>
          <w:p w14:paraId="33962672" w14:textId="313DD9CE" w:rsidR="00396A95" w:rsidRPr="00780155" w:rsidRDefault="00396A95" w:rsidP="003E74D4">
            <w:pPr>
              <w:pStyle w:val="Body"/>
              <w:spacing w:before="120"/>
              <w:jc w:val="left"/>
              <w:rPr>
                <w:rFonts w:cs="Arial"/>
              </w:rPr>
            </w:pPr>
            <w:r w:rsidRPr="00780155">
              <w:t xml:space="preserve">Should there be a distinction made for NSIPs between on-site habitats (which are subject to the biodiversity net gain percentage) and those habitats within the development boundary which are included solely for environmental mitigation (which could be treated as off-site </w:t>
            </w:r>
            <w:r w:rsidRPr="00780155">
              <w:lastRenderedPageBreak/>
              <w:t>enhancement areas without their own gain objective)?</w:t>
            </w:r>
          </w:p>
        </w:tc>
        <w:tc>
          <w:tcPr>
            <w:tcW w:w="9923" w:type="dxa"/>
          </w:tcPr>
          <w:p w14:paraId="286BC3D4" w14:textId="6D98B73B" w:rsidR="00396A95" w:rsidRPr="003A3079" w:rsidRDefault="00396A95" w:rsidP="003E74D4">
            <w:pPr>
              <w:pStyle w:val="Body"/>
              <w:spacing w:before="120"/>
            </w:pPr>
            <w:r w:rsidRPr="003A3079">
              <w:lastRenderedPageBreak/>
              <w:t>Yes. NIPA considers that there should be a distinction between the on-site habitats affected by the NSIP project and dedicated mitigation areas, for the assessment of baseline and calculation of BNG requirements. This is to ensure that ‘double counting’ is not undertaken, and to link to the potential outcomes at question 21. It would be helpful for projects to have a baseline date established as soon as possible to ensure calculations and assessments are accurate, given the length of lead</w:t>
            </w:r>
            <w:r w:rsidR="00870CAD">
              <w:t>-</w:t>
            </w:r>
            <w:r w:rsidRPr="003A3079">
              <w:t xml:space="preserve">in time to the preparation and submission of </w:t>
            </w:r>
            <w:r w:rsidR="00870CAD">
              <w:t>DCO applications</w:t>
            </w:r>
            <w:r w:rsidRPr="003A3079">
              <w:t>.</w:t>
            </w:r>
          </w:p>
          <w:p w14:paraId="6114139E" w14:textId="49A66244" w:rsidR="00396A95" w:rsidRPr="003A3079" w:rsidRDefault="00396A95" w:rsidP="003E74D4">
            <w:pPr>
              <w:pStyle w:val="Body"/>
              <w:spacing w:before="120"/>
            </w:pPr>
            <w:r w:rsidRPr="003A3079">
              <w:t xml:space="preserve">NIPA therefore considers that for NSIPs careful consideration needs to be given to the approach to areas of land within the order limits that are intended for habitat creation or enhancement, and on which no physical built </w:t>
            </w:r>
            <w:r w:rsidRPr="003A3079">
              <w:lastRenderedPageBreak/>
              <w:t xml:space="preserve">development works are to be located. In particular, careful consideration needs to be given to the development area that will be counted within the baseline for determining the level of biodiversity net gain required. </w:t>
            </w:r>
          </w:p>
          <w:p w14:paraId="1F9E58C0" w14:textId="63E699BE" w:rsidR="00396A95" w:rsidRPr="003A3079" w:rsidRDefault="00396A95" w:rsidP="003E74D4">
            <w:pPr>
              <w:pStyle w:val="Body"/>
              <w:spacing w:before="120"/>
            </w:pPr>
            <w:r w:rsidRPr="003A3079">
              <w:t xml:space="preserve">If areas of land which are intended solely for habitat creation or enhancement are included within the baseline, then the overall extent of habitat creation/enhancement required for the purposes of achieving a 10% BNG will be significantly greater than if this is not included. This could result in a disproportionate level of biodiversity net gain being required, when considered as against the biodiversity lost as a result of the development. In particular, this would tend to drive developers towards the use of off-site biodiversity net gain units, which is not consistent with the mitigation hierarchy. </w:t>
            </w:r>
          </w:p>
          <w:p w14:paraId="261BD905" w14:textId="65BA7B0E" w:rsidR="00396A95" w:rsidRPr="003A3079" w:rsidRDefault="00396A95" w:rsidP="003E74D4">
            <w:pPr>
              <w:pStyle w:val="Body"/>
              <w:spacing w:before="120"/>
            </w:pPr>
            <w:r w:rsidRPr="003A3079">
              <w:t>NIPA considers that it would therefore be appropriate for the area for the baseline to comprise either only the NSIP, or only the NSIP plus associated development, but excluding areas for habitat creation or enhancement (including existing designated sites), and on which no physical built development works unrelated to the habitat creation are to be located.</w:t>
            </w:r>
          </w:p>
          <w:p w14:paraId="4B4FF200" w14:textId="16BA52F0" w:rsidR="00396A95" w:rsidRPr="00077FA4" w:rsidRDefault="00396A95" w:rsidP="003E74D4">
            <w:pPr>
              <w:pStyle w:val="Body"/>
              <w:spacing w:before="120"/>
              <w:rPr>
                <w:rFonts w:cs="Arial"/>
              </w:rPr>
            </w:pPr>
            <w:r w:rsidRPr="00077FA4">
              <w:t>NIPA considers that the delivery of BNG will be enhanced and supported by taking an environmentally</w:t>
            </w:r>
            <w:r w:rsidR="00870CAD">
              <w:t>-</w:t>
            </w:r>
            <w:r w:rsidRPr="00077FA4">
              <w:t>led approach to design, rather than focusing solely on the need to deliver a quantified amount of BNG. The quality of design for NSIP projects should be monitored and the risks of quantitative matters driving projects should be balanced with qualitative approaches, including through Good Design guidance</w:t>
            </w:r>
            <w:r>
              <w:t xml:space="preserve"> in the delivery of BNG</w:t>
            </w:r>
            <w:r w:rsidRPr="00077FA4">
              <w:t xml:space="preserve">.  </w:t>
            </w:r>
          </w:p>
          <w:p w14:paraId="224DA341" w14:textId="050C8873" w:rsidR="00396A95" w:rsidRPr="0025750A" w:rsidRDefault="00396A95" w:rsidP="003E74D4">
            <w:pPr>
              <w:pStyle w:val="Body"/>
              <w:spacing w:before="120"/>
              <w:rPr>
                <w:rFonts w:cs="Arial"/>
                <w:color w:val="0097D6" w:themeColor="accent2"/>
              </w:rPr>
            </w:pPr>
            <w:r w:rsidRPr="0025750A">
              <w:rPr>
                <w:rFonts w:cs="Arial"/>
              </w:rPr>
              <w:t>Appendix A to the Consultation ‘Other policies and objectives that interact with BNG’, is useful but NIPA considers that more detailed guidance on the interaction between the BNG regime, and the other regimes listed, will be necessary in order to inform scheme development, preparation of applications and decision</w:t>
            </w:r>
            <w:r w:rsidR="00870CAD">
              <w:rPr>
                <w:rFonts w:cs="Arial"/>
              </w:rPr>
              <w:t>-</w:t>
            </w:r>
            <w:r w:rsidRPr="0025750A">
              <w:rPr>
                <w:rFonts w:cs="Arial"/>
              </w:rPr>
              <w:t>making.</w:t>
            </w:r>
          </w:p>
        </w:tc>
      </w:tr>
      <w:tr w:rsidR="00396A95" w:rsidRPr="00780155" w14:paraId="5FAD6D1C" w14:textId="00DDECCB" w:rsidTr="00C81CC8">
        <w:tc>
          <w:tcPr>
            <w:tcW w:w="1128" w:type="dxa"/>
          </w:tcPr>
          <w:p w14:paraId="7E3596F6" w14:textId="283F9F1A" w:rsidR="00396A95" w:rsidRPr="00780155" w:rsidRDefault="00396A95" w:rsidP="003E74D4">
            <w:pPr>
              <w:pStyle w:val="Body"/>
              <w:spacing w:before="120"/>
              <w:jc w:val="left"/>
              <w:rPr>
                <w:rFonts w:cs="Arial"/>
              </w:rPr>
            </w:pPr>
            <w:r w:rsidRPr="00780155">
              <w:rPr>
                <w:rFonts w:cs="Arial"/>
              </w:rPr>
              <w:lastRenderedPageBreak/>
              <w:t>24</w:t>
            </w:r>
          </w:p>
        </w:tc>
        <w:tc>
          <w:tcPr>
            <w:tcW w:w="2978" w:type="dxa"/>
          </w:tcPr>
          <w:p w14:paraId="3C62A21B" w14:textId="77777777" w:rsidR="00396A95" w:rsidRPr="00780155" w:rsidRDefault="00396A95" w:rsidP="003E74D4">
            <w:pPr>
              <w:pStyle w:val="Body"/>
              <w:spacing w:before="120"/>
              <w:jc w:val="left"/>
            </w:pPr>
            <w:r w:rsidRPr="00780155">
              <w:t xml:space="preserve">Is there any NSIP-specific information that the Examining Authority, or the relevant Secretary of State, would need to see in a biodiversity gain plan to determine the adequacy of an applicant’s plans to deliver net gain </w:t>
            </w:r>
            <w:r w:rsidRPr="00780155">
              <w:lastRenderedPageBreak/>
              <w:t>(beyond that sought in the draft biodiversity gain plan template at Annex B)?</w:t>
            </w:r>
          </w:p>
          <w:p w14:paraId="68ED5F17" w14:textId="77777777" w:rsidR="00396A95" w:rsidRPr="00780155" w:rsidRDefault="00396A95" w:rsidP="003E74D4">
            <w:pPr>
              <w:pStyle w:val="Body"/>
              <w:spacing w:before="120"/>
              <w:jc w:val="left"/>
            </w:pPr>
          </w:p>
        </w:tc>
        <w:tc>
          <w:tcPr>
            <w:tcW w:w="9923" w:type="dxa"/>
          </w:tcPr>
          <w:p w14:paraId="499A6983" w14:textId="6C039FC4" w:rsidR="00396A95" w:rsidRPr="0084519A" w:rsidRDefault="00396A95" w:rsidP="003E74D4">
            <w:pPr>
              <w:pStyle w:val="Body"/>
              <w:spacing w:before="120"/>
            </w:pPr>
            <w:r w:rsidRPr="0084519A">
              <w:lastRenderedPageBreak/>
              <w:t>NIPA has the following specific comments on Annex B ‘</w:t>
            </w:r>
            <w:r w:rsidRPr="0084519A">
              <w:rPr>
                <w:rFonts w:cs="Arial"/>
              </w:rPr>
              <w:t>Biodiversity gain plan template (working draft)’</w:t>
            </w:r>
            <w:r w:rsidRPr="0084519A">
              <w:t>:</w:t>
            </w:r>
          </w:p>
          <w:p w14:paraId="172B5BC7" w14:textId="77777777" w:rsidR="003E74D4" w:rsidRDefault="00396A95" w:rsidP="0040774D">
            <w:pPr>
              <w:pStyle w:val="Body"/>
              <w:numPr>
                <w:ilvl w:val="0"/>
                <w:numId w:val="40"/>
              </w:numPr>
              <w:spacing w:before="120"/>
            </w:pPr>
            <w:r w:rsidRPr="0084519A">
              <w:t>The Biodiversity Gain Plan template should enable reference to be made to other relevant documents submitted with the DCO application in support of the BNG requirements.</w:t>
            </w:r>
          </w:p>
          <w:p w14:paraId="69EB214C" w14:textId="58D24EF1" w:rsidR="00396A95" w:rsidRPr="0084519A" w:rsidRDefault="00396A95" w:rsidP="0040774D">
            <w:pPr>
              <w:pStyle w:val="Body"/>
              <w:numPr>
                <w:ilvl w:val="0"/>
                <w:numId w:val="40"/>
              </w:numPr>
              <w:spacing w:before="120"/>
            </w:pPr>
            <w:r w:rsidRPr="0084519A">
              <w:lastRenderedPageBreak/>
              <w:t>Section G3: Designated sites for nature conservation. The template does not require any explanation of existing management regimes for designated sites. NIPA recommend</w:t>
            </w:r>
            <w:r w:rsidR="00870CAD">
              <w:t>s</w:t>
            </w:r>
            <w:r w:rsidRPr="0084519A">
              <w:t xml:space="preserve"> details on the management regime are requested to provide a holistic overview of the relevant natural environment management.  </w:t>
            </w:r>
          </w:p>
          <w:p w14:paraId="2997BCC3" w14:textId="59145B9D" w:rsidR="00396A95" w:rsidRPr="0084519A" w:rsidRDefault="00396A95" w:rsidP="003E74D4">
            <w:pPr>
              <w:pStyle w:val="Body"/>
              <w:numPr>
                <w:ilvl w:val="0"/>
                <w:numId w:val="40"/>
              </w:numPr>
              <w:spacing w:before="120"/>
            </w:pPr>
            <w:r w:rsidRPr="0084519A">
              <w:t>G5 Net Gain Legacy. The template assumes a 30 year management plan - please refer to our response to Question 25.</w:t>
            </w:r>
          </w:p>
          <w:p w14:paraId="7617E9B7" w14:textId="3F3FDC06" w:rsidR="00396A95" w:rsidRPr="0084519A" w:rsidRDefault="00396A95" w:rsidP="003E74D4">
            <w:pPr>
              <w:pStyle w:val="Body"/>
              <w:numPr>
                <w:ilvl w:val="0"/>
                <w:numId w:val="40"/>
              </w:numPr>
              <w:spacing w:before="120"/>
            </w:pPr>
            <w:r>
              <w:t>S</w:t>
            </w:r>
            <w:r w:rsidRPr="0084519A">
              <w:t xml:space="preserve">pecific reference as to how the proposals for BNG delivery and management and maintenance address the risks posed </w:t>
            </w:r>
            <w:r>
              <w:t xml:space="preserve">by </w:t>
            </w:r>
            <w:r w:rsidRPr="0084519A">
              <w:t>climate change and the need for adaptation should be considered</w:t>
            </w:r>
            <w:r>
              <w:t xml:space="preserve"> and allowed for</w:t>
            </w:r>
            <w:r w:rsidRPr="0084519A">
              <w:t xml:space="preserve">. </w:t>
            </w:r>
          </w:p>
          <w:p w14:paraId="7565DBC8" w14:textId="469DA2E9" w:rsidR="00396A95" w:rsidRPr="0084519A" w:rsidRDefault="00396A95" w:rsidP="003E74D4">
            <w:pPr>
              <w:pStyle w:val="Body"/>
              <w:spacing w:before="120"/>
            </w:pPr>
            <w:r w:rsidRPr="0084519A">
              <w:t>Please also see our response to Question 22.</w:t>
            </w:r>
          </w:p>
        </w:tc>
      </w:tr>
      <w:tr w:rsidR="00396A95" w:rsidRPr="00780155" w14:paraId="36B2E16B" w14:textId="77642771" w:rsidTr="00C81CC8">
        <w:tc>
          <w:tcPr>
            <w:tcW w:w="1128" w:type="dxa"/>
          </w:tcPr>
          <w:p w14:paraId="6076070E" w14:textId="1EE3E772" w:rsidR="00396A95" w:rsidRPr="00780155" w:rsidRDefault="00396A95" w:rsidP="003E74D4">
            <w:pPr>
              <w:pStyle w:val="Body"/>
              <w:spacing w:before="120"/>
              <w:jc w:val="left"/>
              <w:rPr>
                <w:rFonts w:cs="Arial"/>
              </w:rPr>
            </w:pPr>
            <w:r w:rsidRPr="00780155">
              <w:rPr>
                <w:rFonts w:cs="Arial"/>
              </w:rPr>
              <w:lastRenderedPageBreak/>
              <w:t>25</w:t>
            </w:r>
          </w:p>
        </w:tc>
        <w:tc>
          <w:tcPr>
            <w:tcW w:w="2978" w:type="dxa"/>
          </w:tcPr>
          <w:p w14:paraId="3E178D63" w14:textId="77777777" w:rsidR="00396A95" w:rsidRPr="00780155" w:rsidRDefault="00396A95" w:rsidP="003E74D4">
            <w:pPr>
              <w:pStyle w:val="Body"/>
              <w:spacing w:before="120"/>
              <w:jc w:val="left"/>
            </w:pPr>
            <w:r w:rsidRPr="00780155">
              <w:t>Do you think that 30 years is an appropriate minimum duration for securing off-site biodiversity gains allocated to NSIPs?</w:t>
            </w:r>
          </w:p>
          <w:p w14:paraId="2AF98CB0" w14:textId="77777777" w:rsidR="00396A95" w:rsidRPr="00780155" w:rsidRDefault="00396A95" w:rsidP="003E74D4">
            <w:pPr>
              <w:pStyle w:val="Body"/>
              <w:spacing w:before="120"/>
              <w:jc w:val="left"/>
            </w:pPr>
          </w:p>
        </w:tc>
        <w:tc>
          <w:tcPr>
            <w:tcW w:w="9923" w:type="dxa"/>
          </w:tcPr>
          <w:p w14:paraId="36F9F8A5" w14:textId="77777777" w:rsidR="00396A95" w:rsidRPr="0084519A" w:rsidRDefault="00396A95" w:rsidP="003E74D4">
            <w:pPr>
              <w:pStyle w:val="Body"/>
              <w:spacing w:before="120"/>
            </w:pPr>
            <w:r w:rsidRPr="0084519A">
              <w:t xml:space="preserve">NIPA considers that it would be appropriate to apply the same requirement of 30 years to NSIPs, as the BNG is to compensate for permanent loss, which would occur regardless of the consenting regime the development progresses through. </w:t>
            </w:r>
          </w:p>
          <w:p w14:paraId="4297054B" w14:textId="0283A372" w:rsidR="00396A95" w:rsidRPr="0084519A" w:rsidRDefault="00396A95" w:rsidP="003E74D4">
            <w:pPr>
              <w:pStyle w:val="Body"/>
              <w:spacing w:before="120"/>
            </w:pPr>
            <w:r w:rsidRPr="0084519A">
              <w:t>Setting a standard timeframe that is consistent with the requirements under the Town and Country Planning Act 1990 will assist developers and promoters of NSIPs, in terms of providing certainty over business planning and scheme viability, rather than having an undetermined long term land and management obligation that is not set out in legislation or guidance.</w:t>
            </w:r>
          </w:p>
        </w:tc>
      </w:tr>
      <w:tr w:rsidR="00396A95" w:rsidRPr="00780155" w14:paraId="04C8E30F" w14:textId="2B8DDC01" w:rsidTr="00C81CC8">
        <w:tc>
          <w:tcPr>
            <w:tcW w:w="1128" w:type="dxa"/>
          </w:tcPr>
          <w:p w14:paraId="1399C2D2" w14:textId="649A71B9" w:rsidR="00396A95" w:rsidRPr="00780155" w:rsidRDefault="00396A95" w:rsidP="003E74D4">
            <w:pPr>
              <w:pStyle w:val="Body"/>
              <w:spacing w:before="120"/>
              <w:jc w:val="left"/>
              <w:rPr>
                <w:rFonts w:cs="Arial"/>
              </w:rPr>
            </w:pPr>
            <w:r w:rsidRPr="00780155">
              <w:rPr>
                <w:rFonts w:cs="Arial"/>
              </w:rPr>
              <w:t>26</w:t>
            </w:r>
          </w:p>
        </w:tc>
        <w:tc>
          <w:tcPr>
            <w:tcW w:w="2978" w:type="dxa"/>
          </w:tcPr>
          <w:p w14:paraId="55AEA015" w14:textId="77777777" w:rsidR="00396A95" w:rsidRPr="00780155" w:rsidRDefault="00396A95" w:rsidP="003E74D4">
            <w:pPr>
              <w:pStyle w:val="Body"/>
              <w:spacing w:before="120"/>
              <w:jc w:val="left"/>
            </w:pPr>
            <w:r w:rsidRPr="00780155">
              <w:t>Are further powers or other measures needed to enable, or manage the impacts of, compulsory acquisition for net gain?</w:t>
            </w:r>
          </w:p>
          <w:p w14:paraId="0CD3B6B4" w14:textId="77777777" w:rsidR="00396A95" w:rsidRPr="00780155" w:rsidRDefault="00396A95" w:rsidP="003E74D4">
            <w:pPr>
              <w:pStyle w:val="Body"/>
              <w:spacing w:before="120"/>
              <w:jc w:val="left"/>
            </w:pPr>
          </w:p>
        </w:tc>
        <w:tc>
          <w:tcPr>
            <w:tcW w:w="9923" w:type="dxa"/>
          </w:tcPr>
          <w:p w14:paraId="7A3A975D" w14:textId="12F6426F" w:rsidR="009D2C0E" w:rsidRDefault="00396A95" w:rsidP="003E74D4">
            <w:pPr>
              <w:spacing w:before="120" w:after="240"/>
            </w:pPr>
            <w:r w:rsidRPr="0084519A">
              <w:t xml:space="preserve">The Planning Act 2008 already includes broad compulsory acquisition powers </w:t>
            </w:r>
            <w:r w:rsidR="00870CAD">
              <w:t xml:space="preserve">to be included in DCOs made </w:t>
            </w:r>
            <w:r w:rsidRPr="0084519A">
              <w:t>for NSIPs</w:t>
            </w:r>
            <w:r>
              <w:t>.</w:t>
            </w:r>
            <w:r w:rsidRPr="0084519A">
              <w:t xml:space="preserve"> </w:t>
            </w:r>
          </w:p>
          <w:p w14:paraId="03A8437C" w14:textId="756CAE2B" w:rsidR="00396A95" w:rsidRDefault="00396A95" w:rsidP="003E74D4">
            <w:pPr>
              <w:spacing w:before="120" w:after="240"/>
            </w:pPr>
            <w:r>
              <w:t>H</w:t>
            </w:r>
            <w:r w:rsidRPr="0084519A">
              <w:t xml:space="preserve">owever, guidance is required to confirm the availability of such existing powers to enable developers of NSIPs to acquire land compulsorily </w:t>
            </w:r>
            <w:r w:rsidR="00870CAD">
              <w:t>solely</w:t>
            </w:r>
            <w:r w:rsidR="003E74D4">
              <w:t xml:space="preserve"> or principally</w:t>
            </w:r>
            <w:r w:rsidR="00870CAD">
              <w:t xml:space="preserve"> </w:t>
            </w:r>
            <w:r w:rsidRPr="0084519A">
              <w:t>for biodiversity net gain purposes in appropriate circumstances</w:t>
            </w:r>
            <w:r w:rsidR="00670640">
              <w:t>, as ‘required to facilitate’ the main development, to use the wording of section 122(2)(b) of the Planning Act 2008</w:t>
            </w:r>
            <w:r w:rsidRPr="0084519A">
              <w:t xml:space="preserve">. If the guidance is not clear on this, it will result in ambiguity and increased risk of challenge at examination stage and in relation to the decision itself, through judicial review.  It could also result in an over-reliance on the purchase of biodiversity credits when a solution in closer proximity to the NSIP may actually be preferable and in the public interest. In particular, guidance should be clear </w:t>
            </w:r>
            <w:r w:rsidR="00BF4D71">
              <w:t xml:space="preserve">as to </w:t>
            </w:r>
            <w:r w:rsidRPr="0084519A">
              <w:t xml:space="preserve">what is required to establish a compelling </w:t>
            </w:r>
            <w:r w:rsidRPr="0084519A">
              <w:lastRenderedPageBreak/>
              <w:t xml:space="preserve">case in the public interest and what needs to be shown - </w:t>
            </w:r>
            <w:proofErr w:type="gramStart"/>
            <w:r w:rsidRPr="0084519A">
              <w:t>e.g.</w:t>
            </w:r>
            <w:proofErr w:type="gramEnd"/>
            <w:r w:rsidRPr="0084519A">
              <w:t xml:space="preserve"> regarding equivalent habitat, proximity, availability of suitable offsite BNG sites, or of BNG credits (noting that these are intended to be used only as a ‘last resort’) – to justify the compulsory acquisition of a site when compared to reasonable alternatives.</w:t>
            </w:r>
          </w:p>
          <w:p w14:paraId="3114C4A6" w14:textId="197544DF" w:rsidR="00396A95" w:rsidRPr="00C81CC8" w:rsidRDefault="00396A95" w:rsidP="003E74D4">
            <w:pPr>
              <w:pStyle w:val="Body"/>
              <w:spacing w:before="120"/>
            </w:pPr>
            <w:r w:rsidRPr="004D4F69">
              <w:t xml:space="preserve">NIPA recommends that the wording of all relevant policy requirements is sufficiently clear to support the structuring of a </w:t>
            </w:r>
            <w:r>
              <w:t>compulsory acquisition</w:t>
            </w:r>
            <w:r w:rsidRPr="004D4F69">
              <w:t xml:space="preserve"> case.</w:t>
            </w:r>
          </w:p>
        </w:tc>
      </w:tr>
      <w:tr w:rsidR="00396A95" w:rsidRPr="00780155" w14:paraId="5A5928D2" w14:textId="6A9366FD" w:rsidTr="00C81CC8">
        <w:tc>
          <w:tcPr>
            <w:tcW w:w="1128" w:type="dxa"/>
          </w:tcPr>
          <w:p w14:paraId="5A531B4B" w14:textId="6514CCF5" w:rsidR="00396A95" w:rsidRPr="00780155" w:rsidRDefault="00396A95" w:rsidP="003E74D4">
            <w:pPr>
              <w:pStyle w:val="Body"/>
              <w:spacing w:before="120"/>
              <w:jc w:val="left"/>
              <w:rPr>
                <w:rFonts w:cs="Arial"/>
              </w:rPr>
            </w:pPr>
            <w:r w:rsidRPr="00780155">
              <w:rPr>
                <w:rFonts w:cs="Arial"/>
              </w:rPr>
              <w:lastRenderedPageBreak/>
              <w:t>27</w:t>
            </w:r>
          </w:p>
        </w:tc>
        <w:tc>
          <w:tcPr>
            <w:tcW w:w="2978" w:type="dxa"/>
          </w:tcPr>
          <w:p w14:paraId="414AEB1B" w14:textId="1F71DD1A" w:rsidR="00396A95" w:rsidRPr="00780155" w:rsidRDefault="00396A95" w:rsidP="003E74D4">
            <w:pPr>
              <w:pStyle w:val="Body"/>
              <w:spacing w:before="120"/>
              <w:jc w:val="left"/>
            </w:pPr>
            <w:r w:rsidRPr="00780155">
              <w:t>Is any guidance or other support required to ensure that schemes which straddle onshore and offshore regimes are able to deliver biodiversity net gain effectively?</w:t>
            </w:r>
          </w:p>
        </w:tc>
        <w:tc>
          <w:tcPr>
            <w:tcW w:w="9923" w:type="dxa"/>
          </w:tcPr>
          <w:p w14:paraId="0794ED91" w14:textId="4CDB4D4A" w:rsidR="00396A95" w:rsidRPr="00CA48FD" w:rsidRDefault="00396A95" w:rsidP="003E74D4">
            <w:pPr>
              <w:pStyle w:val="Body"/>
              <w:spacing w:before="120"/>
              <w:rPr>
                <w:rFonts w:cs="Arial"/>
              </w:rPr>
            </w:pPr>
            <w:r w:rsidRPr="00CA48FD">
              <w:rPr>
                <w:rFonts w:cs="Arial"/>
              </w:rPr>
              <w:t xml:space="preserve">NIPA considers that further guidance is required to ensure that schemes which straddle onshore and offshore regimes are able to deliver </w:t>
            </w:r>
            <w:r w:rsidR="009D2C0E">
              <w:rPr>
                <w:rFonts w:cs="Arial"/>
              </w:rPr>
              <w:t>BNG</w:t>
            </w:r>
            <w:r w:rsidRPr="00CA48FD">
              <w:rPr>
                <w:rFonts w:cs="Arial"/>
              </w:rPr>
              <w:t xml:space="preserve"> effectively. In particular, we note that works within tidal range watercourses are generally subject to a deemed marine licence in the context of the DCO consenting process</w:t>
            </w:r>
            <w:r w:rsidR="00BF4D71">
              <w:rPr>
                <w:rFonts w:cs="Arial"/>
              </w:rPr>
              <w:t>.  It</w:t>
            </w:r>
            <w:r w:rsidRPr="00CA48FD">
              <w:rPr>
                <w:rFonts w:cs="Arial"/>
              </w:rPr>
              <w:t xml:space="preserve"> will be important to be clear </w:t>
            </w:r>
            <w:r w:rsidR="00BF4D71">
              <w:rPr>
                <w:rFonts w:cs="Arial"/>
              </w:rPr>
              <w:t>as to what are</w:t>
            </w:r>
            <w:r w:rsidRPr="00CA48FD">
              <w:rPr>
                <w:rFonts w:cs="Arial"/>
              </w:rPr>
              <w:t xml:space="preserve"> the </w:t>
            </w:r>
            <w:r w:rsidR="009D2C0E">
              <w:rPr>
                <w:rFonts w:cs="Arial"/>
              </w:rPr>
              <w:t>BNG</w:t>
            </w:r>
            <w:r w:rsidRPr="00CA48FD">
              <w:rPr>
                <w:rFonts w:cs="Arial"/>
              </w:rPr>
              <w:t xml:space="preserve"> requirements for such projects and how </w:t>
            </w:r>
            <w:r>
              <w:rPr>
                <w:rFonts w:cs="Arial"/>
              </w:rPr>
              <w:t>BNG</w:t>
            </w:r>
            <w:r w:rsidRPr="00CA48FD">
              <w:rPr>
                <w:rFonts w:cs="Arial"/>
              </w:rPr>
              <w:t xml:space="preserve"> can be delivered and secured</w:t>
            </w:r>
            <w:r w:rsidR="009D2C0E">
              <w:rPr>
                <w:rFonts w:cs="Arial"/>
              </w:rPr>
              <w:t>.</w:t>
            </w:r>
          </w:p>
          <w:p w14:paraId="722A42FF" w14:textId="65628F65" w:rsidR="00396A95" w:rsidRPr="00CA48FD" w:rsidRDefault="00396A95" w:rsidP="003E74D4">
            <w:pPr>
              <w:pStyle w:val="Body"/>
              <w:spacing w:before="120"/>
              <w:rPr>
                <w:rFonts w:cs="Arial"/>
              </w:rPr>
            </w:pPr>
            <w:r w:rsidRPr="00CA48FD">
              <w:t xml:space="preserve">NIPA recommends that the marine BNG consultation considers whether there should be an alignment with the marine spatial plans and protected areas in support of more comprehensive planning of the marine and intertidal environment, including the interface with </w:t>
            </w:r>
            <w:r>
              <w:t xml:space="preserve">all </w:t>
            </w:r>
            <w:r w:rsidRPr="00CA48FD">
              <w:t xml:space="preserve">offshore </w:t>
            </w:r>
            <w:r>
              <w:t xml:space="preserve">and related </w:t>
            </w:r>
            <w:r w:rsidRPr="00CA48FD">
              <w:t xml:space="preserve">onshore </w:t>
            </w:r>
            <w:r>
              <w:t>connection and infrastructure provision</w:t>
            </w:r>
            <w:r w:rsidR="00870CAD">
              <w:t>,</w:t>
            </w:r>
            <w:r>
              <w:t xml:space="preserve"> </w:t>
            </w:r>
            <w:r w:rsidRPr="00CA48FD">
              <w:t>cable and substation connection</w:t>
            </w:r>
            <w:r>
              <w:t>s</w:t>
            </w:r>
            <w:r w:rsidRPr="00CA48FD">
              <w:t xml:space="preserve"> including the transmission network review and strategy</w:t>
            </w:r>
            <w:r>
              <w:t>.</w:t>
            </w:r>
            <w:r w:rsidRPr="00CA48FD">
              <w:t xml:space="preserve"> We consider that the marine BNG consultation should consider not only offshore windfarm projects</w:t>
            </w:r>
            <w:r>
              <w:t xml:space="preserve"> and their cables and substation </w:t>
            </w:r>
            <w:proofErr w:type="gramStart"/>
            <w:r>
              <w:t>connections,</w:t>
            </w:r>
            <w:r w:rsidRPr="00CA48FD">
              <w:t xml:space="preserve"> but</w:t>
            </w:r>
            <w:proofErr w:type="gramEnd"/>
            <w:r w:rsidRPr="00CA48FD">
              <w:t xml:space="preserve"> should also fully consider implications for </w:t>
            </w:r>
            <w:r>
              <w:t xml:space="preserve">infrastructure such as </w:t>
            </w:r>
            <w:r w:rsidRPr="00CA48FD">
              <w:t>ports, bridges and coastal defences,</w:t>
            </w:r>
            <w:r>
              <w:t xml:space="preserve"> and carbon capture and storage</w:t>
            </w:r>
            <w:r w:rsidR="00870CAD">
              <w:t xml:space="preserve"> projects</w:t>
            </w:r>
            <w:r w:rsidRPr="00CA48FD">
              <w:t>.</w:t>
            </w:r>
          </w:p>
        </w:tc>
      </w:tr>
    </w:tbl>
    <w:p w14:paraId="52F06709" w14:textId="77777777" w:rsidR="00BC1ED7" w:rsidRDefault="00BC1ED7" w:rsidP="003E74D4">
      <w:pPr>
        <w:pStyle w:val="Default"/>
        <w:spacing w:before="120" w:after="240"/>
        <w:rPr>
          <w:sz w:val="20"/>
          <w:szCs w:val="20"/>
        </w:rPr>
      </w:pPr>
      <w:r>
        <w:rPr>
          <w:b/>
          <w:bCs/>
          <w:sz w:val="20"/>
          <w:szCs w:val="20"/>
        </w:rPr>
        <w:t xml:space="preserve">National Infrastructure Planning Association </w:t>
      </w:r>
    </w:p>
    <w:p w14:paraId="753A4837" w14:textId="1FAEF62E" w:rsidR="00BC1ED7" w:rsidRPr="000E7219" w:rsidRDefault="00C81CC8" w:rsidP="003E74D4">
      <w:pPr>
        <w:pStyle w:val="Body"/>
        <w:spacing w:before="120"/>
      </w:pPr>
      <w:r>
        <w:rPr>
          <w:b/>
          <w:bCs/>
        </w:rPr>
        <w:t>5</w:t>
      </w:r>
      <w:r w:rsidR="00BC1ED7" w:rsidRPr="00BC1ED7">
        <w:rPr>
          <w:b/>
          <w:bCs/>
          <w:vertAlign w:val="superscript"/>
        </w:rPr>
        <w:t>th</w:t>
      </w:r>
      <w:r w:rsidR="00BC1ED7">
        <w:rPr>
          <w:b/>
          <w:bCs/>
        </w:rPr>
        <w:t xml:space="preserve"> April 2022</w:t>
      </w:r>
    </w:p>
    <w:sectPr w:rsidR="00BC1ED7" w:rsidRPr="000E7219" w:rsidSect="00083744">
      <w:headerReference w:type="even" r:id="rId13"/>
      <w:headerReference w:type="default" r:id="rId14"/>
      <w:footerReference w:type="even" r:id="rId15"/>
      <w:footerReference w:type="default" r:id="rId16"/>
      <w:headerReference w:type="first" r:id="rId17"/>
      <w:footerReference w:type="first" r:id="rId18"/>
      <w:pgSz w:w="16834" w:h="11909" w:orient="landscape" w:code="9"/>
      <w:pgMar w:top="1701" w:right="1985" w:bottom="1701"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BFAA" w14:textId="77777777" w:rsidR="009676BE" w:rsidRPr="00275DE5" w:rsidRDefault="009676BE" w:rsidP="00275DE5">
      <w:r w:rsidRPr="00275DE5">
        <w:separator/>
      </w:r>
    </w:p>
  </w:endnote>
  <w:endnote w:type="continuationSeparator" w:id="0">
    <w:p w14:paraId="1133DC1C" w14:textId="77777777" w:rsidR="009676BE" w:rsidRPr="00275DE5" w:rsidRDefault="009676BE" w:rsidP="00275DE5">
      <w:r w:rsidRPr="00275D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iss 2 Regular">
    <w:altName w:val="Arial"/>
    <w:panose1 w:val="02000506030000020004"/>
    <w:charset w:val="00"/>
    <w:family w:val="modern"/>
    <w:notTrueType/>
    <w:pitch w:val="variable"/>
    <w:sig w:usb0="A00000AF" w:usb1="5000204B" w:usb2="00000000" w:usb3="00000000" w:csb0="0000009B"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FBEF" w14:textId="77777777" w:rsidR="0030597C" w:rsidRDefault="0030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0743" w14:textId="72F1050A" w:rsidR="00415B35" w:rsidRDefault="00415B35" w:rsidP="00415B35">
    <w:pPr>
      <w:pStyle w:val="Default"/>
      <w:rPr>
        <w:b/>
        <w:bCs/>
        <w:sz w:val="20"/>
        <w:szCs w:val="20"/>
      </w:rPr>
    </w:pPr>
    <w:r w:rsidRPr="00120149">
      <w:rPr>
        <w:b/>
        <w:bCs/>
        <w:sz w:val="20"/>
        <w:szCs w:val="20"/>
      </w:rPr>
      <w:t xml:space="preserve">Consultation on Biodiversity Net Gain Regulations and Implementation </w:t>
    </w:r>
    <w:r>
      <w:rPr>
        <w:b/>
        <w:bCs/>
        <w:sz w:val="20"/>
        <w:szCs w:val="20"/>
      </w:rPr>
      <w:t>– NIPA Response</w:t>
    </w:r>
  </w:p>
  <w:p w14:paraId="3BAE51C4" w14:textId="57914397" w:rsidR="0074391D" w:rsidRPr="00275DE5" w:rsidRDefault="00253C05" w:rsidP="00415B35">
    <w:pPr>
      <w:pStyle w:val="Footer"/>
      <w:tabs>
        <w:tab w:val="center" w:pos="4253"/>
        <w:tab w:val="right" w:pos="8505"/>
      </w:tabs>
      <w:jc w:val="right"/>
    </w:pPr>
    <w:r>
      <w:fldChar w:fldCharType="begin"/>
    </w:r>
    <w:r>
      <w:instrText xml:space="preserve">  PAGE \* MERGEFORMAT </w:instrText>
    </w:r>
    <w:r>
      <w:fldChar w:fldCharType="separate"/>
    </w:r>
    <w:r w:rsidR="00A9381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alias w:val="CompanyName"/>
      <w:tag w:val="{&quot;templafy&quot;:{&quot;type&quot;:&quot;text&quot;,&quot;binding&quot;:&quot;UserProfile.CompanyName.CompanyName&quot;}}"/>
      <w:id w:val="-274712890"/>
      <w:showingPlcHdr/>
      <w15:color w:val="FF0000"/>
    </w:sdtPr>
    <w:sdtEndPr/>
    <w:sdtContent>
      <w:p w14:paraId="05D27ACC" w14:textId="77777777" w:rsidR="00C60FBB" w:rsidRPr="000E190A" w:rsidRDefault="0055783B" w:rsidP="00C60FBB">
        <w:pPr>
          <w:pStyle w:val="Footer"/>
          <w:spacing w:before="200" w:after="110"/>
          <w:rPr>
            <w:sz w:val="15"/>
            <w:szCs w:val="15"/>
          </w:rPr>
        </w:pPr>
        <w:r w:rsidRPr="005129F4">
          <w:rPr>
            <w:rStyle w:val="PlaceholderText"/>
          </w:rPr>
          <w:t>CompanyName</w:t>
        </w:r>
      </w:p>
    </w:sdtContent>
  </w:sdt>
  <w:sdt>
    <w:sdtPr>
      <w:rPr>
        <w:sz w:val="13"/>
        <w:szCs w:val="13"/>
      </w:rPr>
      <w:alias w:val="Address"/>
      <w:tag w:val="{&quot;templafy&quot;:{&quot;type&quot;:&quot;text&quot;,&quot;binding&quot;:&quot;UserProfile.CompanyName.Address&quot;}}"/>
      <w:id w:val="1883833387"/>
      <w:showingPlcHdr/>
      <w15:color w:val="FF0000"/>
    </w:sdtPr>
    <w:sdtEndPr/>
    <w:sdtContent>
      <w:p w14:paraId="76BDA19F" w14:textId="77777777" w:rsidR="00C60FBB" w:rsidRPr="00227950" w:rsidRDefault="0055783B" w:rsidP="00C60FBB">
        <w:pPr>
          <w:pStyle w:val="Footer"/>
          <w:spacing w:after="110"/>
          <w:rPr>
            <w:sz w:val="13"/>
            <w:szCs w:val="13"/>
          </w:rPr>
        </w:pPr>
        <w:r w:rsidRPr="005129F4">
          <w:rPr>
            <w:rStyle w:val="PlaceholderText"/>
          </w:rPr>
          <w:t>Address</w:t>
        </w:r>
      </w:p>
    </w:sdtContent>
  </w:sdt>
  <w:p w14:paraId="63EE55D5" w14:textId="77777777" w:rsidR="00C60FBB" w:rsidRDefault="003460D9" w:rsidP="00C60FBB">
    <w:pPr>
      <w:pStyle w:val="Footer"/>
      <w:spacing w:after="110"/>
      <w:rPr>
        <w:sz w:val="13"/>
        <w:szCs w:val="13"/>
      </w:rPr>
    </w:pPr>
    <w:sdt>
      <w:sdtPr>
        <w:rPr>
          <w:b/>
          <w:sz w:val="13"/>
          <w:szCs w:val="13"/>
        </w:rPr>
        <w:alias w:val="group"/>
        <w:tag w:val="{&quot;templafy&quot;:{&quot;visibility&quot;:{&quot;action&quot;:&quot;hide&quot;,&quot;compareValue&quot;:&quot;&quot;,&quot;binding&quot;:&quot;UserProfile.CompanyName.Phone&quot;,&quot;operator&quot;:&quot;equals&quot;},&quot;type&quot;:&quot;group&quot;}}"/>
        <w:id w:val="-283270270"/>
        <w:placeholder>
          <w:docPart w:val="178048C244334C879DD7685E8EE3226F"/>
        </w:placeholder>
        <w15:color w:val="FF0000"/>
      </w:sdtPr>
      <w:sdtEndPr>
        <w:rPr>
          <w:b w:val="0"/>
        </w:rPr>
      </w:sdtEndPr>
      <w:sdtContent>
        <w:r w:rsidR="00C60FBB" w:rsidRPr="00227950">
          <w:rPr>
            <w:b/>
            <w:sz w:val="13"/>
            <w:szCs w:val="13"/>
          </w:rPr>
          <w:t>T</w:t>
        </w:r>
        <w:r w:rsidR="00C60FBB" w:rsidRPr="00227950">
          <w:rPr>
            <w:sz w:val="13"/>
            <w:szCs w:val="13"/>
          </w:rPr>
          <w:t xml:space="preserve">   </w:t>
        </w:r>
        <w:sdt>
          <w:sdtPr>
            <w:rPr>
              <w:sz w:val="13"/>
              <w:szCs w:val="13"/>
            </w:rPr>
            <w:alias w:val="Phone"/>
            <w:tag w:val="{&quot;templafy&quot;:{&quot;type&quot;:&quot;text&quot;,&quot;binding&quot;:&quot;UserProfile.CompanyName.Phone&quot;}}"/>
            <w:id w:val="937262196"/>
            <w:showingPlcHdr/>
            <w15:color w:val="FF0000"/>
          </w:sdtPr>
          <w:sdtEndPr/>
          <w:sdtContent>
            <w:r w:rsidR="0055783B" w:rsidRPr="005129F4">
              <w:rPr>
                <w:rStyle w:val="PlaceholderText"/>
              </w:rPr>
              <w:t>Phone</w:t>
            </w:r>
          </w:sdtContent>
        </w:sdt>
        <w:r w:rsidR="00F119B6">
          <w:rPr>
            <w:sz w:val="13"/>
            <w:szCs w:val="13"/>
          </w:rPr>
          <w:t xml:space="preserve">   </w:t>
        </w:r>
      </w:sdtContent>
    </w:sdt>
    <w:sdt>
      <w:sdtPr>
        <w:rPr>
          <w:sz w:val="13"/>
          <w:szCs w:val="13"/>
        </w:rPr>
        <w:alias w:val="group"/>
        <w:tag w:val="{&quot;templafy&quot;:{&quot;visibility&quot;:{&quot;action&quot;:&quot;hide&quot;,&quot;compareValue&quot;:&quot;&quot;,&quot;binding&quot;:&quot;UserProfile.CompanyName.Fax&quot;,&quot;operator&quot;:&quot;equals&quot;},&quot;type&quot;:&quot;group&quot;}}"/>
        <w:id w:val="1028994755"/>
        <w:placeholder>
          <w:docPart w:val="178048C244334C879DD7685E8EE3226F"/>
        </w:placeholder>
        <w15:color w:val="FF0000"/>
      </w:sdtPr>
      <w:sdtEndPr/>
      <w:sdtContent>
        <w:r w:rsidR="00C60FBB" w:rsidRPr="00227950">
          <w:rPr>
            <w:b/>
            <w:sz w:val="13"/>
            <w:szCs w:val="13"/>
          </w:rPr>
          <w:t>F</w:t>
        </w:r>
        <w:r w:rsidR="00C60FBB" w:rsidRPr="00227950">
          <w:rPr>
            <w:sz w:val="13"/>
            <w:szCs w:val="13"/>
          </w:rPr>
          <w:t xml:space="preserve">   </w:t>
        </w:r>
        <w:sdt>
          <w:sdtPr>
            <w:rPr>
              <w:sz w:val="13"/>
              <w:szCs w:val="13"/>
            </w:rPr>
            <w:alias w:val="Fax"/>
            <w:tag w:val="{&quot;templafy&quot;:{&quot;type&quot;:&quot;text&quot;,&quot;binding&quot;:&quot;UserProfile.CompanyName.Fax&quot;}}"/>
            <w:id w:val="1109390592"/>
            <w:showingPlcHdr/>
            <w15:color w:val="FF0000"/>
          </w:sdtPr>
          <w:sdtEndPr/>
          <w:sdtContent>
            <w:r w:rsidR="0055783B" w:rsidRPr="005129F4">
              <w:rPr>
                <w:rStyle w:val="PlaceholderText"/>
              </w:rPr>
              <w:t>Fax</w:t>
            </w:r>
          </w:sdtContent>
        </w:sdt>
        <w:r w:rsidR="00F119B6">
          <w:rPr>
            <w:sz w:val="13"/>
            <w:szCs w:val="13"/>
          </w:rPr>
          <w:t xml:space="preserve">   </w:t>
        </w:r>
      </w:sdtContent>
    </w:sdt>
    <w:r w:rsidR="0055783B">
      <w:rPr>
        <w:sz w:val="13"/>
        <w:szCs w:val="13"/>
      </w:rPr>
      <w:t xml:space="preserve"> </w:t>
    </w:r>
    <w:sdt>
      <w:sdtPr>
        <w:rPr>
          <w:sz w:val="13"/>
          <w:szCs w:val="13"/>
        </w:rPr>
        <w:alias w:val="group"/>
        <w:tag w:val="{&quot;templafy&quot;:{&quot;type&quot;:&quot;group&quot;,&quot;visibility&quot;:{&quot;action&quot;:&quot;hide&quot;,&quot;compareValue&quot;:&quot;&quot;,&quot;binding&quot;:&quot;UserProfile.CompanyName.DxNumber&quot;,&quot;operator&quot;:&quot;equals&quot;}}}"/>
        <w:id w:val="-702857621"/>
        <w:placeholder>
          <w:docPart w:val="178048C244334C879DD7685E8EE3226F"/>
        </w:placeholder>
        <w15:color w:val="FF0000"/>
      </w:sdtPr>
      <w:sdtEndPr/>
      <w:sdtContent>
        <w:r w:rsidR="0055783B" w:rsidRPr="0055783B">
          <w:rPr>
            <w:b/>
            <w:sz w:val="13"/>
            <w:szCs w:val="13"/>
          </w:rPr>
          <w:t>DX</w:t>
        </w:r>
        <w:r w:rsidR="0055783B">
          <w:rPr>
            <w:sz w:val="13"/>
            <w:szCs w:val="13"/>
          </w:rPr>
          <w:t xml:space="preserve"> </w:t>
        </w:r>
        <w:sdt>
          <w:sdtPr>
            <w:rPr>
              <w:sz w:val="13"/>
              <w:szCs w:val="13"/>
            </w:rPr>
            <w:alias w:val="DxNumber"/>
            <w:tag w:val="{&quot;templafy&quot;:{&quot;type&quot;:&quot;text&quot;,&quot;binding&quot;:&quot;UserProfile.CompanyName.DxNumber&quot;}}"/>
            <w:id w:val="-515461777"/>
            <w:showingPlcHdr/>
            <w15:color w:val="FF0000"/>
          </w:sdtPr>
          <w:sdtEndPr/>
          <w:sdtContent>
            <w:r w:rsidR="0055783B" w:rsidRPr="005129F4">
              <w:rPr>
                <w:rStyle w:val="PlaceholderText"/>
              </w:rPr>
              <w:t>DX</w:t>
            </w:r>
          </w:sdtContent>
        </w:sdt>
      </w:sdtContent>
    </w:sdt>
  </w:p>
  <w:sdt>
    <w:sdtPr>
      <w:rPr>
        <w:sz w:val="13"/>
        <w:szCs w:val="13"/>
      </w:rPr>
      <w:alias w:val="AddressLocal"/>
      <w:tag w:val="{&quot;templafy&quot;:{&quot;type&quot;:&quot;text&quot;,&quot;binding&quot;:&quot;UserProfile.CompanyName.AddressLocal&quot;,&quot;visibility&quot;:{&quot;action&quot;:&quot;hide&quot;,&quot;compareValue&quot;:&quot;&quot;,&quot;binding&quot;:&quot;UserProfile.CompanyName.AddressLocal&quot;,&quot;operator&quot;:&quot;equals&quot;}}}"/>
      <w:id w:val="-351273533"/>
      <w:showingPlcHdr/>
      <w15:color w:val="FF0000"/>
    </w:sdtPr>
    <w:sdtEndPr/>
    <w:sdtContent>
      <w:p w14:paraId="495FBCFF" w14:textId="77777777" w:rsidR="00025BB7" w:rsidRDefault="00025BB7" w:rsidP="00C60FBB">
        <w:pPr>
          <w:pStyle w:val="Footer"/>
          <w:spacing w:after="110"/>
          <w:rPr>
            <w:sz w:val="13"/>
            <w:szCs w:val="13"/>
          </w:rPr>
        </w:pPr>
        <w:r w:rsidRPr="005129F4">
          <w:rPr>
            <w:rStyle w:val="PlaceholderText"/>
          </w:rPr>
          <w:t>Address Line 2</w:t>
        </w:r>
      </w:p>
    </w:sdtContent>
  </w:sdt>
  <w:sdt>
    <w:sdtPr>
      <w:rPr>
        <w:sz w:val="13"/>
        <w:szCs w:val="13"/>
      </w:rPr>
      <w:alias w:val="group"/>
      <w:tag w:val="{&quot;templafy&quot;:{&quot;visibility&quot;:{&quot;action&quot;:&quot;hide&quot;,&quot;compareValue&quot;:&quot;&quot;,&quot;binding&quot;:&quot;UserProfile.CompanyName.BankInfo&quot;,&quot;operator&quot;:&quot;equals&quot;},&quot;type&quot;:&quot;group&quot;}}"/>
      <w:id w:val="167442747"/>
      <w:placeholder>
        <w:docPart w:val="178048C244334C879DD7685E8EE3226F"/>
      </w:placeholder>
      <w15:color w:val="FF0000"/>
    </w:sdtPr>
    <w:sdtEndPr/>
    <w:sdtContent>
      <w:p w14:paraId="78E25CB3" w14:textId="77777777" w:rsidR="00D25DA0" w:rsidRPr="0055783B" w:rsidRDefault="00791D4B" w:rsidP="00791D4B">
        <w:pPr>
          <w:pStyle w:val="Footer"/>
          <w:spacing w:after="110"/>
          <w:ind w:left="-567"/>
          <w:rPr>
            <w:sz w:val="13"/>
            <w:szCs w:val="13"/>
          </w:rPr>
        </w:pPr>
        <w:r>
          <w:rPr>
            <w:b/>
            <w:noProof/>
            <w:sz w:val="13"/>
            <w:szCs w:val="13"/>
            <w:lang w:eastAsia="en-GB"/>
          </w:rPr>
          <mc:AlternateContent>
            <mc:Choice Requires="wps">
              <w:drawing>
                <wp:inline distT="0" distB="0" distL="0" distR="0" wp14:anchorId="205247FF" wp14:editId="0FA0B318">
                  <wp:extent cx="6120000" cy="200674"/>
                  <wp:effectExtent l="0" t="0" r="14605" b="7620"/>
                  <wp:docPr id="2" name="Disclaimer"/>
                  <wp:cNvGraphicFramePr/>
                  <a:graphic xmlns:a="http://schemas.openxmlformats.org/drawingml/2006/main">
                    <a:graphicData uri="http://schemas.microsoft.com/office/word/2010/wordprocessingShape">
                      <wps:wsp>
                        <wps:cNvSpPr txBox="1"/>
                        <wps:spPr>
                          <a:xfrm>
                            <a:off x="0" y="0"/>
                            <a:ext cx="6120000" cy="200674"/>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sz w:val="13"/>
                                  <w:szCs w:val="13"/>
                                </w:rPr>
                                <w:alias w:val="UserProfile.CompanyName.BankInfo"/>
                                <w:tag w:val="{&quot;templafy&quot;:{&quot;type&quot;:&quot;text&quot;,&quot;binding&quot;:&quot;UserProfile.CompanyName.BankInfo&quot;,&quot;visibility&quot;:{&quot;compareValue&quot;:&quot;&quot;}}}"/>
                                <w:id w:val="-538817202"/>
                                <w:showingPlcHdr/>
                                <w15:color w:val="FF0000"/>
                              </w:sdtPr>
                              <w:sdtEndPr/>
                              <w:sdtContent>
                                <w:p w14:paraId="2E11DE61" w14:textId="77777777" w:rsidR="00791D4B" w:rsidRPr="00791D4B" w:rsidRDefault="00791D4B" w:rsidP="00791D4B">
                                  <w:pPr>
                                    <w:pStyle w:val="Footer"/>
                                    <w:spacing w:after="110"/>
                                    <w:rPr>
                                      <w:sz w:val="13"/>
                                      <w:szCs w:val="13"/>
                                    </w:rPr>
                                  </w:pPr>
                                  <w:r>
                                    <w:rPr>
                                      <w:sz w:val="13"/>
                                      <w:szCs w:val="13"/>
                                    </w:rPr>
                                    <w:t>BankInfo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205247FF" id="_x0000_t202" coordsize="21600,21600" o:spt="202" path="m,l,21600r21600,l21600,xe">
                  <v:stroke joinstyle="miter"/>
                  <v:path gradientshapeok="t" o:connecttype="rect"/>
                </v:shapetype>
                <v:shape id="Disclaimer" o:spid="_x0000_s1027" type="#_x0000_t202" style="width:481.9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" filled="f" fillcolor="white [3201]" stroked="f" strokeweight=".5pt">
                  <v:textbox style="mso-fit-shape-to-text:t" inset="0,0,0,0">
                    <w:txbxContent>
                      <w:sdt>
                        <w:sdtPr>
                          <w:rPr>
                            <w:sz w:val="13"/>
                            <w:szCs w:val="13"/>
                          </w:rPr>
                          <w:alias w:val="UserProfile.CompanyName.BankInfo"/>
                          <w:tag w:val="{&quot;templafy&quot;:{&quot;type&quot;:&quot;text&quot;,&quot;binding&quot;:&quot;UserProfile.CompanyName.BankInfo&quot;,&quot;visibility&quot;:{&quot;compareValue&quot;:&quot;&quot;}}}"/>
                          <w:id w:val="-538817202"/>
                          <w:showingPlcHdr/>
                          <w15:color w:val="FF0000"/>
                        </w:sdtPr>
                        <w:sdtEndPr/>
                        <w:sdtContent>
                          <w:p w14:paraId="2E11DE61" w14:textId="77777777" w:rsidR="00791D4B" w:rsidRPr="00791D4B" w:rsidRDefault="00791D4B" w:rsidP="00791D4B">
                            <w:pPr>
                              <w:pStyle w:val="Footer"/>
                              <w:spacing w:after="110"/>
                              <w:rPr>
                                <w:sz w:val="13"/>
                                <w:szCs w:val="13"/>
                              </w:rPr>
                            </w:pPr>
                            <w:r>
                              <w:rPr>
                                <w:sz w:val="13"/>
                                <w:szCs w:val="13"/>
                              </w:rPr>
                              <w:t>BankInfo</w:t>
                            </w:r>
                          </w:p>
                        </w:sdtContent>
                      </w:sdt>
                    </w:txbxContent>
                  </v:textbox>
                  <w10:anchorlock/>
                </v:shape>
              </w:pict>
            </mc:Fallback>
          </mc:AlternateContent>
        </w:r>
      </w:p>
    </w:sdtContent>
  </w:sdt>
  <w:sdt>
    <w:sdtPr>
      <w:rPr>
        <w:sz w:val="12"/>
        <w:szCs w:val="12"/>
      </w:rPr>
      <w:alias w:val="group"/>
      <w:tag w:val="{&quot;templafy&quot;:{&quot;type&quot;:&quot;group&quot;,&quot;visibility&quot;:{&quot;action&quot;:&quot;hide&quot;,&quot;compareValue&quot;:&quot;&quot;,&quot;binding&quot;:&quot;UserProfile.Disclaimer.DisclaimerLegalInsert_{{DocumentLanguage}}&quot;,&quot;operator&quot;:&quot;equals&quot;}}}"/>
      <w:id w:val="-1697079683"/>
      <w:placeholder>
        <w:docPart w:val="178048C244334C879DD7685E8EE3226F"/>
      </w:placeholder>
      <w15:color w:val="FF0000"/>
    </w:sdtPr>
    <w:sdtEndPr/>
    <w:sdtContent>
      <w:p w14:paraId="1F0B259B" w14:textId="77777777" w:rsidR="00C60FBB" w:rsidRPr="008018D8" w:rsidRDefault="00461F8A" w:rsidP="000A247C">
        <w:pPr>
          <w:pStyle w:val="Footer"/>
          <w:ind w:left="-567"/>
          <w:rPr>
            <w:sz w:val="12"/>
            <w:szCs w:val="12"/>
          </w:rPr>
        </w:pPr>
        <w:r>
          <w:rPr>
            <w:b/>
            <w:noProof/>
            <w:sz w:val="13"/>
            <w:szCs w:val="13"/>
            <w:lang w:eastAsia="en-GB"/>
          </w:rPr>
          <mc:AlternateContent>
            <mc:Choice Requires="wps">
              <w:drawing>
                <wp:inline distT="0" distB="0" distL="0" distR="0" wp14:anchorId="23034EB3" wp14:editId="50EEFE98">
                  <wp:extent cx="6120000" cy="295399"/>
                  <wp:effectExtent l="0" t="0" r="14605" b="635"/>
                  <wp:docPr id="1" name="Disclaimer"/>
                  <wp:cNvGraphicFramePr/>
                  <a:graphic xmlns:a="http://schemas.openxmlformats.org/drawingml/2006/main">
                    <a:graphicData uri="http://schemas.microsoft.com/office/word/2010/wordprocessingShape">
                      <wps:wsp>
                        <wps:cNvSpPr txBox="1"/>
                        <wps:spPr>
                          <a:xfrm>
                            <a:off x="0" y="0"/>
                            <a:ext cx="6120000" cy="295399"/>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sz w:val="12"/>
                                  <w:szCs w:val="12"/>
                                </w:rPr>
                                <w:alias w:val="DisclaimerLegalInsert_{{DocumentLanguage}}"/>
                                <w:tag w:val="{&quot;templafy&quot;:{&quot;type&quot;:&quot;text&quot;,&quot;binding&quot;:&quot;UserProfile.Disclaimer.DisclaimerLegalInsert_{{DocumentLanguage}}&quot;}}"/>
                                <w:id w:val="-561873909"/>
                                <w:showingPlcHdr/>
                                <w15:color w:val="FF0000"/>
                              </w:sdtPr>
                              <w:sdtEndPr/>
                              <w:sdtContent>
                                <w:p w14:paraId="02DBBEDD" w14:textId="77777777" w:rsidR="00461F8A" w:rsidRPr="00461F8A" w:rsidRDefault="00D25DA0" w:rsidP="00461F8A">
                                  <w:pPr>
                                    <w:pStyle w:val="Footer"/>
                                    <w:rPr>
                                      <w:sz w:val="12"/>
                                      <w:szCs w:val="12"/>
                                    </w:rPr>
                                  </w:pPr>
                                  <w:r>
                                    <w:rPr>
                                      <w:sz w:val="12"/>
                                      <w:szCs w:val="12"/>
                                    </w:rPr>
                                    <w:t>Disclaimer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23034EB3" id="_x0000_s1028" type="#_x0000_t202" style="width:481.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" filled="f" fillcolor="white [3201]" stroked="f" strokeweight=".5pt">
                  <v:textbox style="mso-fit-shape-to-text:t" inset="0,0,0,0">
                    <w:txbxContent>
                      <w:sdt>
                        <w:sdtPr>
                          <w:rPr>
                            <w:sz w:val="12"/>
                            <w:szCs w:val="12"/>
                          </w:rPr>
                          <w:alias w:val="DisclaimerLegalInsert_{{DocumentLanguage}}"/>
                          <w:tag w:val="{&quot;templafy&quot;:{&quot;type&quot;:&quot;text&quot;,&quot;binding&quot;:&quot;UserProfile.Disclaimer.DisclaimerLegalInsert_{{DocumentLanguage}}&quot;}}"/>
                          <w:id w:val="-561873909"/>
                          <w:showingPlcHdr/>
                          <w15:color w:val="FF0000"/>
                        </w:sdtPr>
                        <w:sdtEndPr/>
                        <w:sdtContent>
                          <w:p w14:paraId="02DBBEDD" w14:textId="77777777" w:rsidR="00461F8A" w:rsidRPr="00461F8A" w:rsidRDefault="00D25DA0" w:rsidP="00461F8A">
                            <w:pPr>
                              <w:pStyle w:val="Footer"/>
                              <w:rPr>
                                <w:sz w:val="12"/>
                                <w:szCs w:val="12"/>
                              </w:rPr>
                            </w:pPr>
                            <w:r>
                              <w:rPr>
                                <w:sz w:val="12"/>
                                <w:szCs w:val="12"/>
                              </w:rPr>
                              <w:t>Disclaimer</w:t>
                            </w:r>
                          </w:p>
                        </w:sdtContent>
                      </w:sdt>
                    </w:txbxContent>
                  </v:textbox>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B081" w14:textId="77777777" w:rsidR="009676BE" w:rsidRPr="00275DE5" w:rsidRDefault="009676BE" w:rsidP="00275DE5">
      <w:r w:rsidRPr="00275DE5">
        <w:separator/>
      </w:r>
    </w:p>
  </w:footnote>
  <w:footnote w:type="continuationSeparator" w:id="0">
    <w:p w14:paraId="7642D334" w14:textId="77777777" w:rsidR="009676BE" w:rsidRPr="00275DE5" w:rsidRDefault="009676BE" w:rsidP="00275DE5">
      <w:r w:rsidRPr="00275D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F2BD" w14:textId="77777777" w:rsidR="0030597C" w:rsidRDefault="00305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B926" w14:textId="3B308909" w:rsidR="00BA00D0" w:rsidRPr="00BA00D0" w:rsidRDefault="00C30538" w:rsidP="00C30538">
    <w:pPr>
      <w:pStyle w:val="Header"/>
      <w:jc w:val="right"/>
    </w:pPr>
    <w:r>
      <w:rPr>
        <w:noProof/>
      </w:rPr>
      <w:drawing>
        <wp:inline distT="0" distB="0" distL="0" distR="0" wp14:anchorId="5005E766" wp14:editId="030AEECB">
          <wp:extent cx="1991003" cy="495369"/>
          <wp:effectExtent l="0" t="0" r="9525"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991003" cy="4953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7B02" w14:textId="77777777" w:rsidR="00D87B24" w:rsidRDefault="00D87B24" w:rsidP="00945EB7">
    <w:pPr>
      <w:pStyle w:val="Header"/>
      <w:jc w:val="center"/>
      <w:rPr>
        <w:szCs w:val="16"/>
      </w:rPr>
    </w:pPr>
  </w:p>
  <w:p w14:paraId="259ACA8E" w14:textId="77777777" w:rsidR="004461A2" w:rsidRPr="00EA6313" w:rsidRDefault="00D87B24" w:rsidP="00945EB7">
    <w:pPr>
      <w:pStyle w:val="Header"/>
      <w:jc w:val="center"/>
      <w:rPr>
        <w:szCs w:val="16"/>
      </w:rPr>
    </w:pPr>
    <w:r w:rsidRPr="00CC031A">
      <w:rPr>
        <w:noProof/>
        <w:szCs w:val="16"/>
        <w:lang w:eastAsia="en-GB"/>
      </w:rPr>
      <mc:AlternateContent>
        <mc:Choice Requires="wps">
          <w:drawing>
            <wp:anchor distT="0" distB="0" distL="114300" distR="114300" simplePos="0" relativeHeight="251659264" behindDoc="0" locked="0" layoutInCell="1" allowOverlap="1" wp14:anchorId="22BFD44D" wp14:editId="344042E0">
              <wp:simplePos x="0" y="0"/>
              <wp:positionH relativeFrom="leftMargin">
                <wp:align>right</wp:align>
              </wp:positionH>
              <wp:positionV relativeFrom="paragraph">
                <wp:posOffset>3679825</wp:posOffset>
              </wp:positionV>
              <wp:extent cx="903600" cy="3380400"/>
              <wp:effectExtent l="0" t="0" r="0" b="0"/>
              <wp:wrapNone/>
              <wp:docPr id="13" name="Partn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0" cy="3380400"/>
                      </a:xfrm>
                      <a:prstGeom prst="rect">
                        <a:avLst/>
                      </a:prstGeom>
                      <a:noFill/>
                      <a:ln w="9525">
                        <a:noFill/>
                        <a:miter lim="800000"/>
                        <a:headEnd/>
                        <a:tailEnd/>
                      </a:ln>
                    </wps:spPr>
                    <wps:txbx>
                      <w:txbxContent>
                        <w:sdt>
                          <w:sdtPr>
                            <w:alias w:val="Partners"/>
                            <w:tag w:val="{&quot;templafy&quot;:{&quot;binding&quot;:&quot;UserProfile.Office.Partners&quot;,&quot;type&quot;:&quot;text&quot;}}"/>
                            <w:id w:val="-334848339"/>
                            <w:placeholder>
                              <w:docPart w:val="178048C244334C879DD7685E8EE3226F"/>
                            </w:placeholder>
                            <w:showingPlcHdr/>
                            <w15:color w:val="FF0000"/>
                          </w:sdtPr>
                          <w:sdtEndPr/>
                          <w:sdtContent>
                            <w:p w14:paraId="7BA9F7B0" w14:textId="77777777" w:rsidR="00D87B24" w:rsidRPr="002C3779" w:rsidRDefault="00FD6645" w:rsidP="00251B81">
                              <w:pPr>
                                <w:pStyle w:val="Partners"/>
                              </w:pPr>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FD44D" id="_x0000_t202" coordsize="21600,21600" o:spt="202" path="m,l,21600r21600,l21600,xe">
              <v:stroke joinstyle="miter"/>
              <v:path gradientshapeok="t" o:connecttype="rect"/>
            </v:shapetype>
            <v:shape id="Partners" o:spid="_x0000_s1026" type="#_x0000_t202" style="position:absolute;left:0;text-align:left;margin-left:19.95pt;margin-top:289.75pt;width:71.15pt;height:266.1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" filled="f" stroked="f">
              <v:textbox>
                <w:txbxContent>
                  <w:sdt>
                    <w:sdtPr>
                      <w:alias w:val="Partners"/>
                      <w:tag w:val="{&quot;templafy&quot;:{&quot;binding&quot;:&quot;UserProfile.Office.Partners&quot;,&quot;type&quot;:&quot;text&quot;}}"/>
                      <w:id w:val="-334848339"/>
                      <w:placeholder>
                        <w:docPart w:val="178048C244334C879DD7685E8EE3226F"/>
                      </w:placeholder>
                      <w:showingPlcHdr/>
                      <w15:color w:val="FF0000"/>
                    </w:sdtPr>
                    <w:sdtEndPr/>
                    <w:sdtContent>
                      <w:p w14:paraId="7BA9F7B0" w14:textId="77777777" w:rsidR="00D87B24" w:rsidRPr="002C3779" w:rsidRDefault="00FD6645" w:rsidP="00251B81">
                        <w:pPr>
                          <w:pStyle w:val="Partners"/>
                        </w:pPr>
                        <w:r>
                          <w:t xml:space="preserve"> </w:t>
                        </w:r>
                      </w:p>
                    </w:sdtContent>
                  </w:sdt>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02D4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D3F274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D0B8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2EABE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08AB95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27453D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C82180"/>
    <w:multiLevelType w:val="multilevel"/>
    <w:tmpl w:val="5C9668C4"/>
    <w:lvl w:ilvl="0">
      <w:start w:val="1"/>
      <w:numFmt w:val="none"/>
      <w:pStyle w:val="Body1"/>
      <w:lvlText w:val=""/>
      <w:lvlJc w:val="left"/>
      <w:pPr>
        <w:ind w:left="851" w:hanging="851"/>
      </w:pPr>
      <w:rPr>
        <w:rFonts w:hint="default"/>
      </w:rPr>
    </w:lvl>
    <w:lvl w:ilvl="1">
      <w:start w:val="1"/>
      <w:numFmt w:val="none"/>
      <w:pStyle w:val="Body2"/>
      <w:lvlText w:val=""/>
      <w:lvlJc w:val="left"/>
      <w:pPr>
        <w:ind w:left="851" w:hanging="851"/>
      </w:pPr>
      <w:rPr>
        <w:rFonts w:hint="default"/>
      </w:rPr>
    </w:lvl>
    <w:lvl w:ilvl="2">
      <w:start w:val="1"/>
      <w:numFmt w:val="none"/>
      <w:pStyle w:val="Body3"/>
      <w:lvlText w:val=""/>
      <w:lvlJc w:val="left"/>
      <w:pPr>
        <w:tabs>
          <w:tab w:val="num" w:pos="1701"/>
        </w:tabs>
        <w:ind w:left="1701" w:firstLine="0"/>
      </w:pPr>
      <w:rPr>
        <w:rFonts w:hint="default"/>
      </w:rPr>
    </w:lvl>
    <w:lvl w:ilvl="3">
      <w:start w:val="1"/>
      <w:numFmt w:val="none"/>
      <w:pStyle w:val="Body4"/>
      <w:lvlText w:val=""/>
      <w:lvlJc w:val="left"/>
      <w:pPr>
        <w:tabs>
          <w:tab w:val="num" w:pos="2552"/>
        </w:tabs>
        <w:ind w:left="2552" w:firstLine="0"/>
      </w:pPr>
      <w:rPr>
        <w:rFonts w:hint="default"/>
      </w:rPr>
    </w:lvl>
    <w:lvl w:ilvl="4">
      <w:start w:val="1"/>
      <w:numFmt w:val="none"/>
      <w:pStyle w:val="Body5"/>
      <w:lvlText w:val=""/>
      <w:lvlJc w:val="left"/>
      <w:pPr>
        <w:tabs>
          <w:tab w:val="num" w:pos="3402"/>
        </w:tabs>
        <w:ind w:left="3402" w:firstLine="0"/>
      </w:pPr>
      <w:rPr>
        <w:rFonts w:hint="default"/>
      </w:rPr>
    </w:lvl>
    <w:lvl w:ilvl="5">
      <w:start w:val="1"/>
      <w:numFmt w:val="none"/>
      <w:pStyle w:val="Body6"/>
      <w:lvlText w:val=""/>
      <w:lvlJc w:val="left"/>
      <w:pPr>
        <w:tabs>
          <w:tab w:val="num" w:pos="4253"/>
        </w:tabs>
        <w:ind w:left="4253" w:firstLine="0"/>
      </w:pPr>
      <w:rPr>
        <w:rFonts w:hint="default"/>
      </w:rPr>
    </w:lvl>
    <w:lvl w:ilvl="6">
      <w:start w:val="1"/>
      <w:numFmt w:val="none"/>
      <w:pStyle w:val="Body7"/>
      <w:lvlText w:val=""/>
      <w:lvlJc w:val="left"/>
      <w:pPr>
        <w:tabs>
          <w:tab w:val="num" w:pos="5103"/>
        </w:tabs>
        <w:ind w:left="5103" w:firstLine="0"/>
      </w:pPr>
      <w:rPr>
        <w:rFonts w:hint="default"/>
      </w:rPr>
    </w:lvl>
    <w:lvl w:ilvl="7">
      <w:start w:val="1"/>
      <w:numFmt w:val="none"/>
      <w:lvlText w:val=""/>
      <w:lvlJc w:val="left"/>
      <w:pPr>
        <w:tabs>
          <w:tab w:val="num" w:pos="4253"/>
        </w:tabs>
        <w:ind w:left="4253" w:firstLine="0"/>
      </w:pPr>
      <w:rPr>
        <w:rFonts w:hint="default"/>
      </w:rPr>
    </w:lvl>
    <w:lvl w:ilvl="8">
      <w:start w:val="1"/>
      <w:numFmt w:val="none"/>
      <w:lvlText w:val=""/>
      <w:lvlJc w:val="left"/>
      <w:pPr>
        <w:ind w:left="4253" w:firstLine="0"/>
      </w:pPr>
      <w:rPr>
        <w:rFonts w:hint="default"/>
      </w:rPr>
    </w:lvl>
  </w:abstractNum>
  <w:abstractNum w:abstractNumId="7" w15:restartNumberingAfterBreak="0">
    <w:nsid w:val="0A1A4B6A"/>
    <w:multiLevelType w:val="hybridMultilevel"/>
    <w:tmpl w:val="BE36976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A0309"/>
    <w:multiLevelType w:val="hybridMultilevel"/>
    <w:tmpl w:val="34DE7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506012"/>
    <w:multiLevelType w:val="hybridMultilevel"/>
    <w:tmpl w:val="AEBCD3A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E60BF5"/>
    <w:multiLevelType w:val="hybridMultilevel"/>
    <w:tmpl w:val="F09C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761A21"/>
    <w:multiLevelType w:val="multilevel"/>
    <w:tmpl w:val="FA3690CC"/>
    <w:lvl w:ilvl="0">
      <w:start w:val="1"/>
      <w:numFmt w:val="decimal"/>
      <w:pStyle w:val="Schedule"/>
      <w:suff w:val="nothing"/>
      <w:lvlText w:val="Schedule %1"/>
      <w:lvlJc w:val="left"/>
      <w:pPr>
        <w:ind w:left="360" w:hanging="360"/>
      </w:pPr>
      <w:rPr>
        <w:rFonts w:hint="default"/>
        <w:color w:val="auto"/>
      </w:rPr>
    </w:lvl>
    <w:lvl w:ilvl="1">
      <w:start w:val="1"/>
      <w:numFmt w:val="decimal"/>
      <w:pStyle w:val="SCHLevel1"/>
      <w:lvlText w:val="%2."/>
      <w:lvlJc w:val="left"/>
      <w:pPr>
        <w:ind w:left="851" w:hanging="851"/>
      </w:pPr>
      <w:rPr>
        <w:rFonts w:hint="default"/>
        <w:b w:val="0"/>
        <w:i w:val="0"/>
        <w:color w:val="auto"/>
      </w:rPr>
    </w:lvl>
    <w:lvl w:ilvl="2">
      <w:start w:val="1"/>
      <w:numFmt w:val="decimal"/>
      <w:pStyle w:val="SCHLevel2"/>
      <w:lvlText w:val="%2.%3"/>
      <w:lvlJc w:val="left"/>
      <w:pPr>
        <w:ind w:left="851" w:hanging="851"/>
      </w:pPr>
      <w:rPr>
        <w:rFonts w:hint="default"/>
        <w:b w:val="0"/>
        <w:i w:val="0"/>
        <w:color w:val="auto"/>
      </w:rPr>
    </w:lvl>
    <w:lvl w:ilvl="3">
      <w:start w:val="1"/>
      <w:numFmt w:val="decimal"/>
      <w:pStyle w:val="SCHLevel3"/>
      <w:lvlText w:val="%2.%3.%4"/>
      <w:lvlJc w:val="left"/>
      <w:pPr>
        <w:ind w:left="1701" w:hanging="850"/>
      </w:pPr>
      <w:rPr>
        <w:rFonts w:hint="default"/>
        <w:b w:val="0"/>
        <w:i w:val="0"/>
        <w:color w:val="auto"/>
      </w:rPr>
    </w:lvl>
    <w:lvl w:ilvl="4">
      <w:start w:val="1"/>
      <w:numFmt w:val="lowerLetter"/>
      <w:pStyle w:val="SCHLevel4"/>
      <w:lvlText w:val="(%5)"/>
      <w:lvlJc w:val="left"/>
      <w:pPr>
        <w:tabs>
          <w:tab w:val="num" w:pos="2268"/>
        </w:tabs>
        <w:ind w:left="2552" w:hanging="851"/>
      </w:pPr>
      <w:rPr>
        <w:rFonts w:hint="default"/>
        <w:b w:val="0"/>
        <w:i w:val="0"/>
      </w:rPr>
    </w:lvl>
    <w:lvl w:ilvl="5">
      <w:start w:val="1"/>
      <w:numFmt w:val="lowerRoman"/>
      <w:pStyle w:val="SCHLevel5"/>
      <w:lvlText w:val="(%6)"/>
      <w:lvlJc w:val="left"/>
      <w:pPr>
        <w:ind w:left="3402" w:hanging="850"/>
      </w:pPr>
      <w:rPr>
        <w:rFonts w:hint="default"/>
        <w:b w:val="0"/>
        <w:i w:val="0"/>
      </w:rPr>
    </w:lvl>
    <w:lvl w:ilvl="6">
      <w:start w:val="1"/>
      <w:numFmt w:val="decimal"/>
      <w:pStyle w:val="SCHLevel6"/>
      <w:lvlText w:val="(%7)"/>
      <w:lvlJc w:val="left"/>
      <w:pPr>
        <w:ind w:left="4253" w:hanging="851"/>
      </w:pPr>
      <w:rPr>
        <w:rFonts w:hint="default"/>
        <w:b w:val="0"/>
        <w:i w:val="0"/>
      </w:rPr>
    </w:lvl>
    <w:lvl w:ilvl="7">
      <w:start w:val="1"/>
      <w:numFmt w:val="upperLetter"/>
      <w:pStyle w:val="SCHLevel7"/>
      <w:lvlText w:val="(%8)"/>
      <w:lvlJc w:val="left"/>
      <w:pPr>
        <w:ind w:left="5103" w:hanging="850"/>
      </w:pPr>
      <w:rPr>
        <w:rFonts w:hint="default"/>
      </w:rPr>
    </w:lvl>
    <w:lvl w:ilvl="8">
      <w:start w:val="1"/>
      <w:numFmt w:val="none"/>
      <w:lvlText w:val=""/>
      <w:lvlJc w:val="left"/>
      <w:pPr>
        <w:ind w:left="0" w:firstLine="0"/>
      </w:pPr>
      <w:rPr>
        <w:rFonts w:hint="default"/>
      </w:rPr>
    </w:lvl>
  </w:abstractNum>
  <w:abstractNum w:abstractNumId="12" w15:restartNumberingAfterBreak="0">
    <w:nsid w:val="15161C34"/>
    <w:multiLevelType w:val="hybridMultilevel"/>
    <w:tmpl w:val="496632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A712C6"/>
    <w:multiLevelType w:val="hybridMultilevel"/>
    <w:tmpl w:val="F1D415C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18716B"/>
    <w:multiLevelType w:val="hybridMultilevel"/>
    <w:tmpl w:val="C0BE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60109"/>
    <w:multiLevelType w:val="hybridMultilevel"/>
    <w:tmpl w:val="C00E87B0"/>
    <w:lvl w:ilvl="0" w:tplc="166474C8">
      <w:start w:val="1"/>
      <w:numFmt w:val="bullet"/>
      <w:lvlText w:val="•"/>
      <w:lvlJc w:val="left"/>
      <w:pPr>
        <w:tabs>
          <w:tab w:val="num" w:pos="720"/>
        </w:tabs>
        <w:ind w:left="720" w:hanging="360"/>
      </w:pPr>
      <w:rPr>
        <w:rFonts w:ascii="Arial" w:hAnsi="Arial" w:hint="default"/>
      </w:rPr>
    </w:lvl>
    <w:lvl w:ilvl="1" w:tplc="7B001CB0">
      <w:start w:val="1"/>
      <w:numFmt w:val="bullet"/>
      <w:lvlText w:val="•"/>
      <w:lvlJc w:val="left"/>
      <w:pPr>
        <w:tabs>
          <w:tab w:val="num" w:pos="360"/>
        </w:tabs>
        <w:ind w:left="360" w:hanging="360"/>
      </w:pPr>
      <w:rPr>
        <w:rFonts w:ascii="Arial" w:hAnsi="Arial" w:hint="default"/>
      </w:rPr>
    </w:lvl>
    <w:lvl w:ilvl="2" w:tplc="CC6E3B2E" w:tentative="1">
      <w:start w:val="1"/>
      <w:numFmt w:val="bullet"/>
      <w:lvlText w:val="•"/>
      <w:lvlJc w:val="left"/>
      <w:pPr>
        <w:tabs>
          <w:tab w:val="num" w:pos="2160"/>
        </w:tabs>
        <w:ind w:left="2160" w:hanging="360"/>
      </w:pPr>
      <w:rPr>
        <w:rFonts w:ascii="Arial" w:hAnsi="Arial" w:hint="default"/>
      </w:rPr>
    </w:lvl>
    <w:lvl w:ilvl="3" w:tplc="C03A26AE" w:tentative="1">
      <w:start w:val="1"/>
      <w:numFmt w:val="bullet"/>
      <w:lvlText w:val="•"/>
      <w:lvlJc w:val="left"/>
      <w:pPr>
        <w:tabs>
          <w:tab w:val="num" w:pos="2880"/>
        </w:tabs>
        <w:ind w:left="2880" w:hanging="360"/>
      </w:pPr>
      <w:rPr>
        <w:rFonts w:ascii="Arial" w:hAnsi="Arial" w:hint="default"/>
      </w:rPr>
    </w:lvl>
    <w:lvl w:ilvl="4" w:tplc="68CA81A6" w:tentative="1">
      <w:start w:val="1"/>
      <w:numFmt w:val="bullet"/>
      <w:lvlText w:val="•"/>
      <w:lvlJc w:val="left"/>
      <w:pPr>
        <w:tabs>
          <w:tab w:val="num" w:pos="3600"/>
        </w:tabs>
        <w:ind w:left="3600" w:hanging="360"/>
      </w:pPr>
      <w:rPr>
        <w:rFonts w:ascii="Arial" w:hAnsi="Arial" w:hint="default"/>
      </w:rPr>
    </w:lvl>
    <w:lvl w:ilvl="5" w:tplc="616E46C0" w:tentative="1">
      <w:start w:val="1"/>
      <w:numFmt w:val="bullet"/>
      <w:lvlText w:val="•"/>
      <w:lvlJc w:val="left"/>
      <w:pPr>
        <w:tabs>
          <w:tab w:val="num" w:pos="4320"/>
        </w:tabs>
        <w:ind w:left="4320" w:hanging="360"/>
      </w:pPr>
      <w:rPr>
        <w:rFonts w:ascii="Arial" w:hAnsi="Arial" w:hint="default"/>
      </w:rPr>
    </w:lvl>
    <w:lvl w:ilvl="6" w:tplc="A900F114" w:tentative="1">
      <w:start w:val="1"/>
      <w:numFmt w:val="bullet"/>
      <w:lvlText w:val="•"/>
      <w:lvlJc w:val="left"/>
      <w:pPr>
        <w:tabs>
          <w:tab w:val="num" w:pos="5040"/>
        </w:tabs>
        <w:ind w:left="5040" w:hanging="360"/>
      </w:pPr>
      <w:rPr>
        <w:rFonts w:ascii="Arial" w:hAnsi="Arial" w:hint="default"/>
      </w:rPr>
    </w:lvl>
    <w:lvl w:ilvl="7" w:tplc="3BDA7A9A" w:tentative="1">
      <w:start w:val="1"/>
      <w:numFmt w:val="bullet"/>
      <w:lvlText w:val="•"/>
      <w:lvlJc w:val="left"/>
      <w:pPr>
        <w:tabs>
          <w:tab w:val="num" w:pos="5760"/>
        </w:tabs>
        <w:ind w:left="5760" w:hanging="360"/>
      </w:pPr>
      <w:rPr>
        <w:rFonts w:ascii="Arial" w:hAnsi="Arial" w:hint="default"/>
      </w:rPr>
    </w:lvl>
    <w:lvl w:ilvl="8" w:tplc="007838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FB0425"/>
    <w:multiLevelType w:val="multilevel"/>
    <w:tmpl w:val="B412B698"/>
    <w:styleLink w:val="MainNumbering"/>
    <w:lvl w:ilvl="0">
      <w:start w:val="1"/>
      <w:numFmt w:val="decimal"/>
      <w:lvlText w:val="%1."/>
      <w:lvlJc w:val="left"/>
      <w:pPr>
        <w:ind w:left="850" w:hanging="850"/>
      </w:pPr>
      <w:rPr>
        <w:color w:val="auto"/>
      </w:rPr>
    </w:lvl>
    <w:lvl w:ilvl="1">
      <w:start w:val="1"/>
      <w:numFmt w:val="decimal"/>
      <w:lvlText w:val="%1.%2"/>
      <w:lvlJc w:val="left"/>
      <w:pPr>
        <w:ind w:left="850" w:hanging="850"/>
      </w:pPr>
      <w:rPr>
        <w:color w:val="auto"/>
      </w:rPr>
    </w:lvl>
    <w:lvl w:ilvl="2">
      <w:start w:val="1"/>
      <w:numFmt w:val="decimal"/>
      <w:lvlText w:val="%1.%2.%3"/>
      <w:lvlJc w:val="left"/>
      <w:pPr>
        <w:ind w:left="1701" w:hanging="851"/>
      </w:pPr>
      <w:rPr>
        <w:color w:val="auto"/>
      </w:rPr>
    </w:lvl>
    <w:lvl w:ilvl="3">
      <w:start w:val="1"/>
      <w:numFmt w:val="lowerLetter"/>
      <w:lvlText w:val="(%4)"/>
      <w:lvlJc w:val="left"/>
      <w:pPr>
        <w:ind w:left="2551" w:hanging="850"/>
      </w:pPr>
      <w:rPr>
        <w:color w:val="auto"/>
      </w:rPr>
    </w:lvl>
    <w:lvl w:ilvl="4">
      <w:start w:val="1"/>
      <w:numFmt w:val="lowerRoman"/>
      <w:lvlText w:val="(%5)"/>
      <w:lvlJc w:val="left"/>
      <w:pPr>
        <w:ind w:left="3402" w:hanging="851"/>
      </w:pPr>
      <w:rPr>
        <w:color w:val="auto"/>
      </w:rPr>
    </w:lvl>
    <w:lvl w:ilvl="5">
      <w:start w:val="1"/>
      <w:numFmt w:val="decimal"/>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336DC1"/>
    <w:multiLevelType w:val="hybridMultilevel"/>
    <w:tmpl w:val="C7FC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5A1023"/>
    <w:multiLevelType w:val="hybridMultilevel"/>
    <w:tmpl w:val="A118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6671D2"/>
    <w:multiLevelType w:val="hybridMultilevel"/>
    <w:tmpl w:val="883E356C"/>
    <w:lvl w:ilvl="0" w:tplc="3F32AD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B6065D"/>
    <w:multiLevelType w:val="multilevel"/>
    <w:tmpl w:val="67C0AD58"/>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5271518"/>
    <w:multiLevelType w:val="hybridMultilevel"/>
    <w:tmpl w:val="BAAABA9E"/>
    <w:lvl w:ilvl="0" w:tplc="CCEAE482">
      <w:start w:val="1"/>
      <w:numFmt w:val="bullet"/>
      <w:lvlText w:val="•"/>
      <w:lvlJc w:val="left"/>
      <w:pPr>
        <w:tabs>
          <w:tab w:val="num" w:pos="720"/>
        </w:tabs>
        <w:ind w:left="720" w:hanging="360"/>
      </w:pPr>
      <w:rPr>
        <w:rFonts w:ascii="Arial" w:hAnsi="Arial" w:hint="default"/>
      </w:rPr>
    </w:lvl>
    <w:lvl w:ilvl="1" w:tplc="CB8C32EA">
      <w:numFmt w:val="bullet"/>
      <w:lvlText w:val="•"/>
      <w:lvlJc w:val="left"/>
      <w:pPr>
        <w:tabs>
          <w:tab w:val="num" w:pos="360"/>
        </w:tabs>
        <w:ind w:left="360" w:hanging="360"/>
      </w:pPr>
      <w:rPr>
        <w:rFonts w:ascii="Arial" w:hAnsi="Arial" w:hint="default"/>
      </w:rPr>
    </w:lvl>
    <w:lvl w:ilvl="2" w:tplc="BCC684C8" w:tentative="1">
      <w:start w:val="1"/>
      <w:numFmt w:val="bullet"/>
      <w:lvlText w:val="•"/>
      <w:lvlJc w:val="left"/>
      <w:pPr>
        <w:tabs>
          <w:tab w:val="num" w:pos="2160"/>
        </w:tabs>
        <w:ind w:left="2160" w:hanging="360"/>
      </w:pPr>
      <w:rPr>
        <w:rFonts w:ascii="Arial" w:hAnsi="Arial" w:hint="default"/>
      </w:rPr>
    </w:lvl>
    <w:lvl w:ilvl="3" w:tplc="7122B380" w:tentative="1">
      <w:start w:val="1"/>
      <w:numFmt w:val="bullet"/>
      <w:lvlText w:val="•"/>
      <w:lvlJc w:val="left"/>
      <w:pPr>
        <w:tabs>
          <w:tab w:val="num" w:pos="2880"/>
        </w:tabs>
        <w:ind w:left="2880" w:hanging="360"/>
      </w:pPr>
      <w:rPr>
        <w:rFonts w:ascii="Arial" w:hAnsi="Arial" w:hint="default"/>
      </w:rPr>
    </w:lvl>
    <w:lvl w:ilvl="4" w:tplc="AAACF656" w:tentative="1">
      <w:start w:val="1"/>
      <w:numFmt w:val="bullet"/>
      <w:lvlText w:val="•"/>
      <w:lvlJc w:val="left"/>
      <w:pPr>
        <w:tabs>
          <w:tab w:val="num" w:pos="3600"/>
        </w:tabs>
        <w:ind w:left="3600" w:hanging="360"/>
      </w:pPr>
      <w:rPr>
        <w:rFonts w:ascii="Arial" w:hAnsi="Arial" w:hint="default"/>
      </w:rPr>
    </w:lvl>
    <w:lvl w:ilvl="5" w:tplc="EC367F30" w:tentative="1">
      <w:start w:val="1"/>
      <w:numFmt w:val="bullet"/>
      <w:lvlText w:val="•"/>
      <w:lvlJc w:val="left"/>
      <w:pPr>
        <w:tabs>
          <w:tab w:val="num" w:pos="4320"/>
        </w:tabs>
        <w:ind w:left="4320" w:hanging="360"/>
      </w:pPr>
      <w:rPr>
        <w:rFonts w:ascii="Arial" w:hAnsi="Arial" w:hint="default"/>
      </w:rPr>
    </w:lvl>
    <w:lvl w:ilvl="6" w:tplc="BECE842C" w:tentative="1">
      <w:start w:val="1"/>
      <w:numFmt w:val="bullet"/>
      <w:lvlText w:val="•"/>
      <w:lvlJc w:val="left"/>
      <w:pPr>
        <w:tabs>
          <w:tab w:val="num" w:pos="5040"/>
        </w:tabs>
        <w:ind w:left="5040" w:hanging="360"/>
      </w:pPr>
      <w:rPr>
        <w:rFonts w:ascii="Arial" w:hAnsi="Arial" w:hint="default"/>
      </w:rPr>
    </w:lvl>
    <w:lvl w:ilvl="7" w:tplc="024A1178" w:tentative="1">
      <w:start w:val="1"/>
      <w:numFmt w:val="bullet"/>
      <w:lvlText w:val="•"/>
      <w:lvlJc w:val="left"/>
      <w:pPr>
        <w:tabs>
          <w:tab w:val="num" w:pos="5760"/>
        </w:tabs>
        <w:ind w:left="5760" w:hanging="360"/>
      </w:pPr>
      <w:rPr>
        <w:rFonts w:ascii="Arial" w:hAnsi="Arial" w:hint="default"/>
      </w:rPr>
    </w:lvl>
    <w:lvl w:ilvl="8" w:tplc="7D30F8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7358A4"/>
    <w:multiLevelType w:val="hybridMultilevel"/>
    <w:tmpl w:val="3CA02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7485D"/>
    <w:multiLevelType w:val="hybridMultilevel"/>
    <w:tmpl w:val="ABCC1F82"/>
    <w:lvl w:ilvl="0" w:tplc="02B64AB4">
      <w:start w:val="1"/>
      <w:numFmt w:val="bullet"/>
      <w:lvlText w:val="•"/>
      <w:lvlJc w:val="left"/>
      <w:pPr>
        <w:tabs>
          <w:tab w:val="num" w:pos="720"/>
        </w:tabs>
        <w:ind w:left="720" w:hanging="360"/>
      </w:pPr>
      <w:rPr>
        <w:rFonts w:ascii="Arial" w:hAnsi="Arial" w:hint="default"/>
      </w:rPr>
    </w:lvl>
    <w:lvl w:ilvl="1" w:tplc="48B25C2E">
      <w:start w:val="1"/>
      <w:numFmt w:val="bullet"/>
      <w:lvlText w:val="•"/>
      <w:lvlJc w:val="left"/>
      <w:pPr>
        <w:tabs>
          <w:tab w:val="num" w:pos="360"/>
        </w:tabs>
        <w:ind w:left="360" w:hanging="360"/>
      </w:pPr>
      <w:rPr>
        <w:rFonts w:ascii="Arial" w:hAnsi="Arial" w:hint="default"/>
      </w:rPr>
    </w:lvl>
    <w:lvl w:ilvl="2" w:tplc="C598D492" w:tentative="1">
      <w:start w:val="1"/>
      <w:numFmt w:val="bullet"/>
      <w:lvlText w:val="•"/>
      <w:lvlJc w:val="left"/>
      <w:pPr>
        <w:tabs>
          <w:tab w:val="num" w:pos="2160"/>
        </w:tabs>
        <w:ind w:left="2160" w:hanging="360"/>
      </w:pPr>
      <w:rPr>
        <w:rFonts w:ascii="Arial" w:hAnsi="Arial" w:hint="default"/>
      </w:rPr>
    </w:lvl>
    <w:lvl w:ilvl="3" w:tplc="978A1D60" w:tentative="1">
      <w:start w:val="1"/>
      <w:numFmt w:val="bullet"/>
      <w:lvlText w:val="•"/>
      <w:lvlJc w:val="left"/>
      <w:pPr>
        <w:tabs>
          <w:tab w:val="num" w:pos="2880"/>
        </w:tabs>
        <w:ind w:left="2880" w:hanging="360"/>
      </w:pPr>
      <w:rPr>
        <w:rFonts w:ascii="Arial" w:hAnsi="Arial" w:hint="default"/>
      </w:rPr>
    </w:lvl>
    <w:lvl w:ilvl="4" w:tplc="62EE99DE" w:tentative="1">
      <w:start w:val="1"/>
      <w:numFmt w:val="bullet"/>
      <w:lvlText w:val="•"/>
      <w:lvlJc w:val="left"/>
      <w:pPr>
        <w:tabs>
          <w:tab w:val="num" w:pos="3600"/>
        </w:tabs>
        <w:ind w:left="3600" w:hanging="360"/>
      </w:pPr>
      <w:rPr>
        <w:rFonts w:ascii="Arial" w:hAnsi="Arial" w:hint="default"/>
      </w:rPr>
    </w:lvl>
    <w:lvl w:ilvl="5" w:tplc="64CA1380" w:tentative="1">
      <w:start w:val="1"/>
      <w:numFmt w:val="bullet"/>
      <w:lvlText w:val="•"/>
      <w:lvlJc w:val="left"/>
      <w:pPr>
        <w:tabs>
          <w:tab w:val="num" w:pos="4320"/>
        </w:tabs>
        <w:ind w:left="4320" w:hanging="360"/>
      </w:pPr>
      <w:rPr>
        <w:rFonts w:ascii="Arial" w:hAnsi="Arial" w:hint="default"/>
      </w:rPr>
    </w:lvl>
    <w:lvl w:ilvl="6" w:tplc="71DC99EA" w:tentative="1">
      <w:start w:val="1"/>
      <w:numFmt w:val="bullet"/>
      <w:lvlText w:val="•"/>
      <w:lvlJc w:val="left"/>
      <w:pPr>
        <w:tabs>
          <w:tab w:val="num" w:pos="5040"/>
        </w:tabs>
        <w:ind w:left="5040" w:hanging="360"/>
      </w:pPr>
      <w:rPr>
        <w:rFonts w:ascii="Arial" w:hAnsi="Arial" w:hint="default"/>
      </w:rPr>
    </w:lvl>
    <w:lvl w:ilvl="7" w:tplc="217870EE" w:tentative="1">
      <w:start w:val="1"/>
      <w:numFmt w:val="bullet"/>
      <w:lvlText w:val="•"/>
      <w:lvlJc w:val="left"/>
      <w:pPr>
        <w:tabs>
          <w:tab w:val="num" w:pos="5760"/>
        </w:tabs>
        <w:ind w:left="5760" w:hanging="360"/>
      </w:pPr>
      <w:rPr>
        <w:rFonts w:ascii="Arial" w:hAnsi="Arial" w:hint="default"/>
      </w:rPr>
    </w:lvl>
    <w:lvl w:ilvl="8" w:tplc="E5D23B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C950CC1"/>
    <w:multiLevelType w:val="hybridMultilevel"/>
    <w:tmpl w:val="D83CF1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365559A"/>
    <w:multiLevelType w:val="hybridMultilevel"/>
    <w:tmpl w:val="57220E04"/>
    <w:lvl w:ilvl="0" w:tplc="2606242A">
      <w:start w:val="1"/>
      <w:numFmt w:val="bullet"/>
      <w:lvlText w:val="•"/>
      <w:lvlJc w:val="left"/>
      <w:pPr>
        <w:tabs>
          <w:tab w:val="num" w:pos="720"/>
        </w:tabs>
        <w:ind w:left="720" w:hanging="360"/>
      </w:pPr>
      <w:rPr>
        <w:rFonts w:ascii="Arial" w:hAnsi="Arial" w:hint="default"/>
      </w:rPr>
    </w:lvl>
    <w:lvl w:ilvl="1" w:tplc="AA40EEBE">
      <w:start w:val="1"/>
      <w:numFmt w:val="bullet"/>
      <w:lvlText w:val="•"/>
      <w:lvlJc w:val="left"/>
      <w:pPr>
        <w:tabs>
          <w:tab w:val="num" w:pos="360"/>
        </w:tabs>
        <w:ind w:left="360" w:hanging="360"/>
      </w:pPr>
      <w:rPr>
        <w:rFonts w:ascii="Arial" w:hAnsi="Arial" w:hint="default"/>
      </w:rPr>
    </w:lvl>
    <w:lvl w:ilvl="2" w:tplc="ADB6994C" w:tentative="1">
      <w:start w:val="1"/>
      <w:numFmt w:val="bullet"/>
      <w:lvlText w:val="•"/>
      <w:lvlJc w:val="left"/>
      <w:pPr>
        <w:tabs>
          <w:tab w:val="num" w:pos="2160"/>
        </w:tabs>
        <w:ind w:left="2160" w:hanging="360"/>
      </w:pPr>
      <w:rPr>
        <w:rFonts w:ascii="Arial" w:hAnsi="Arial" w:hint="default"/>
      </w:rPr>
    </w:lvl>
    <w:lvl w:ilvl="3" w:tplc="723CFF5E" w:tentative="1">
      <w:start w:val="1"/>
      <w:numFmt w:val="bullet"/>
      <w:lvlText w:val="•"/>
      <w:lvlJc w:val="left"/>
      <w:pPr>
        <w:tabs>
          <w:tab w:val="num" w:pos="2880"/>
        </w:tabs>
        <w:ind w:left="2880" w:hanging="360"/>
      </w:pPr>
      <w:rPr>
        <w:rFonts w:ascii="Arial" w:hAnsi="Arial" w:hint="default"/>
      </w:rPr>
    </w:lvl>
    <w:lvl w:ilvl="4" w:tplc="76DA22A2" w:tentative="1">
      <w:start w:val="1"/>
      <w:numFmt w:val="bullet"/>
      <w:lvlText w:val="•"/>
      <w:lvlJc w:val="left"/>
      <w:pPr>
        <w:tabs>
          <w:tab w:val="num" w:pos="3600"/>
        </w:tabs>
        <w:ind w:left="3600" w:hanging="360"/>
      </w:pPr>
      <w:rPr>
        <w:rFonts w:ascii="Arial" w:hAnsi="Arial" w:hint="default"/>
      </w:rPr>
    </w:lvl>
    <w:lvl w:ilvl="5" w:tplc="E2A6959C" w:tentative="1">
      <w:start w:val="1"/>
      <w:numFmt w:val="bullet"/>
      <w:lvlText w:val="•"/>
      <w:lvlJc w:val="left"/>
      <w:pPr>
        <w:tabs>
          <w:tab w:val="num" w:pos="4320"/>
        </w:tabs>
        <w:ind w:left="4320" w:hanging="360"/>
      </w:pPr>
      <w:rPr>
        <w:rFonts w:ascii="Arial" w:hAnsi="Arial" w:hint="default"/>
      </w:rPr>
    </w:lvl>
    <w:lvl w:ilvl="6" w:tplc="0FB4E310" w:tentative="1">
      <w:start w:val="1"/>
      <w:numFmt w:val="bullet"/>
      <w:lvlText w:val="•"/>
      <w:lvlJc w:val="left"/>
      <w:pPr>
        <w:tabs>
          <w:tab w:val="num" w:pos="5040"/>
        </w:tabs>
        <w:ind w:left="5040" w:hanging="360"/>
      </w:pPr>
      <w:rPr>
        <w:rFonts w:ascii="Arial" w:hAnsi="Arial" w:hint="default"/>
      </w:rPr>
    </w:lvl>
    <w:lvl w:ilvl="7" w:tplc="792C033C" w:tentative="1">
      <w:start w:val="1"/>
      <w:numFmt w:val="bullet"/>
      <w:lvlText w:val="•"/>
      <w:lvlJc w:val="left"/>
      <w:pPr>
        <w:tabs>
          <w:tab w:val="num" w:pos="5760"/>
        </w:tabs>
        <w:ind w:left="5760" w:hanging="360"/>
      </w:pPr>
      <w:rPr>
        <w:rFonts w:ascii="Arial" w:hAnsi="Arial" w:hint="default"/>
      </w:rPr>
    </w:lvl>
    <w:lvl w:ilvl="8" w:tplc="7A42B1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1879AF"/>
    <w:multiLevelType w:val="hybridMultilevel"/>
    <w:tmpl w:val="F5546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3070F3"/>
    <w:multiLevelType w:val="hybridMultilevel"/>
    <w:tmpl w:val="EBC22686"/>
    <w:lvl w:ilvl="0" w:tplc="3092CAA6">
      <w:start w:val="1"/>
      <w:numFmt w:val="bullet"/>
      <w:lvlText w:val="•"/>
      <w:lvlJc w:val="left"/>
      <w:pPr>
        <w:tabs>
          <w:tab w:val="num" w:pos="720"/>
        </w:tabs>
        <w:ind w:left="720" w:hanging="360"/>
      </w:pPr>
      <w:rPr>
        <w:rFonts w:ascii="Arial" w:hAnsi="Arial" w:hint="default"/>
      </w:rPr>
    </w:lvl>
    <w:lvl w:ilvl="1" w:tplc="E6C0F78C">
      <w:start w:val="1"/>
      <w:numFmt w:val="bullet"/>
      <w:lvlText w:val="•"/>
      <w:lvlJc w:val="left"/>
      <w:pPr>
        <w:tabs>
          <w:tab w:val="num" w:pos="360"/>
        </w:tabs>
        <w:ind w:left="360" w:hanging="360"/>
      </w:pPr>
      <w:rPr>
        <w:rFonts w:ascii="Arial" w:hAnsi="Arial" w:hint="default"/>
      </w:rPr>
    </w:lvl>
    <w:lvl w:ilvl="2" w:tplc="80942C50" w:tentative="1">
      <w:start w:val="1"/>
      <w:numFmt w:val="bullet"/>
      <w:lvlText w:val="•"/>
      <w:lvlJc w:val="left"/>
      <w:pPr>
        <w:tabs>
          <w:tab w:val="num" w:pos="2160"/>
        </w:tabs>
        <w:ind w:left="2160" w:hanging="360"/>
      </w:pPr>
      <w:rPr>
        <w:rFonts w:ascii="Arial" w:hAnsi="Arial" w:hint="default"/>
      </w:rPr>
    </w:lvl>
    <w:lvl w:ilvl="3" w:tplc="72408028" w:tentative="1">
      <w:start w:val="1"/>
      <w:numFmt w:val="bullet"/>
      <w:lvlText w:val="•"/>
      <w:lvlJc w:val="left"/>
      <w:pPr>
        <w:tabs>
          <w:tab w:val="num" w:pos="2880"/>
        </w:tabs>
        <w:ind w:left="2880" w:hanging="360"/>
      </w:pPr>
      <w:rPr>
        <w:rFonts w:ascii="Arial" w:hAnsi="Arial" w:hint="default"/>
      </w:rPr>
    </w:lvl>
    <w:lvl w:ilvl="4" w:tplc="260A97C8" w:tentative="1">
      <w:start w:val="1"/>
      <w:numFmt w:val="bullet"/>
      <w:lvlText w:val="•"/>
      <w:lvlJc w:val="left"/>
      <w:pPr>
        <w:tabs>
          <w:tab w:val="num" w:pos="3600"/>
        </w:tabs>
        <w:ind w:left="3600" w:hanging="360"/>
      </w:pPr>
      <w:rPr>
        <w:rFonts w:ascii="Arial" w:hAnsi="Arial" w:hint="default"/>
      </w:rPr>
    </w:lvl>
    <w:lvl w:ilvl="5" w:tplc="559EEB08" w:tentative="1">
      <w:start w:val="1"/>
      <w:numFmt w:val="bullet"/>
      <w:lvlText w:val="•"/>
      <w:lvlJc w:val="left"/>
      <w:pPr>
        <w:tabs>
          <w:tab w:val="num" w:pos="4320"/>
        </w:tabs>
        <w:ind w:left="4320" w:hanging="360"/>
      </w:pPr>
      <w:rPr>
        <w:rFonts w:ascii="Arial" w:hAnsi="Arial" w:hint="default"/>
      </w:rPr>
    </w:lvl>
    <w:lvl w:ilvl="6" w:tplc="37BEE2EC" w:tentative="1">
      <w:start w:val="1"/>
      <w:numFmt w:val="bullet"/>
      <w:lvlText w:val="•"/>
      <w:lvlJc w:val="left"/>
      <w:pPr>
        <w:tabs>
          <w:tab w:val="num" w:pos="5040"/>
        </w:tabs>
        <w:ind w:left="5040" w:hanging="360"/>
      </w:pPr>
      <w:rPr>
        <w:rFonts w:ascii="Arial" w:hAnsi="Arial" w:hint="default"/>
      </w:rPr>
    </w:lvl>
    <w:lvl w:ilvl="7" w:tplc="FC784C3A" w:tentative="1">
      <w:start w:val="1"/>
      <w:numFmt w:val="bullet"/>
      <w:lvlText w:val="•"/>
      <w:lvlJc w:val="left"/>
      <w:pPr>
        <w:tabs>
          <w:tab w:val="num" w:pos="5760"/>
        </w:tabs>
        <w:ind w:left="5760" w:hanging="360"/>
      </w:pPr>
      <w:rPr>
        <w:rFonts w:ascii="Arial" w:hAnsi="Arial" w:hint="default"/>
      </w:rPr>
    </w:lvl>
    <w:lvl w:ilvl="8" w:tplc="C762A5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C604C9"/>
    <w:multiLevelType w:val="hybridMultilevel"/>
    <w:tmpl w:val="9D66EE70"/>
    <w:lvl w:ilvl="0" w:tplc="D0B2C470">
      <w:start w:val="1"/>
      <w:numFmt w:val="bullet"/>
      <w:lvlText w:val="•"/>
      <w:lvlJc w:val="left"/>
      <w:pPr>
        <w:tabs>
          <w:tab w:val="num" w:pos="720"/>
        </w:tabs>
        <w:ind w:left="720" w:hanging="360"/>
      </w:pPr>
      <w:rPr>
        <w:rFonts w:ascii="Arial" w:hAnsi="Arial" w:hint="default"/>
      </w:rPr>
    </w:lvl>
    <w:lvl w:ilvl="1" w:tplc="82B27D72">
      <w:numFmt w:val="bullet"/>
      <w:lvlText w:val="•"/>
      <w:lvlJc w:val="left"/>
      <w:pPr>
        <w:tabs>
          <w:tab w:val="num" w:pos="1440"/>
        </w:tabs>
        <w:ind w:left="1440" w:hanging="360"/>
      </w:pPr>
      <w:rPr>
        <w:rFonts w:ascii="Arial" w:hAnsi="Arial" w:hint="default"/>
      </w:rPr>
    </w:lvl>
    <w:lvl w:ilvl="2" w:tplc="E13AFD8A" w:tentative="1">
      <w:start w:val="1"/>
      <w:numFmt w:val="bullet"/>
      <w:lvlText w:val="•"/>
      <w:lvlJc w:val="left"/>
      <w:pPr>
        <w:tabs>
          <w:tab w:val="num" w:pos="2160"/>
        </w:tabs>
        <w:ind w:left="2160" w:hanging="360"/>
      </w:pPr>
      <w:rPr>
        <w:rFonts w:ascii="Arial" w:hAnsi="Arial" w:hint="default"/>
      </w:rPr>
    </w:lvl>
    <w:lvl w:ilvl="3" w:tplc="221A9F3E" w:tentative="1">
      <w:start w:val="1"/>
      <w:numFmt w:val="bullet"/>
      <w:lvlText w:val="•"/>
      <w:lvlJc w:val="left"/>
      <w:pPr>
        <w:tabs>
          <w:tab w:val="num" w:pos="2880"/>
        </w:tabs>
        <w:ind w:left="2880" w:hanging="360"/>
      </w:pPr>
      <w:rPr>
        <w:rFonts w:ascii="Arial" w:hAnsi="Arial" w:hint="default"/>
      </w:rPr>
    </w:lvl>
    <w:lvl w:ilvl="4" w:tplc="9EC21BF4" w:tentative="1">
      <w:start w:val="1"/>
      <w:numFmt w:val="bullet"/>
      <w:lvlText w:val="•"/>
      <w:lvlJc w:val="left"/>
      <w:pPr>
        <w:tabs>
          <w:tab w:val="num" w:pos="3600"/>
        </w:tabs>
        <w:ind w:left="3600" w:hanging="360"/>
      </w:pPr>
      <w:rPr>
        <w:rFonts w:ascii="Arial" w:hAnsi="Arial" w:hint="default"/>
      </w:rPr>
    </w:lvl>
    <w:lvl w:ilvl="5" w:tplc="BF522F12" w:tentative="1">
      <w:start w:val="1"/>
      <w:numFmt w:val="bullet"/>
      <w:lvlText w:val="•"/>
      <w:lvlJc w:val="left"/>
      <w:pPr>
        <w:tabs>
          <w:tab w:val="num" w:pos="4320"/>
        </w:tabs>
        <w:ind w:left="4320" w:hanging="360"/>
      </w:pPr>
      <w:rPr>
        <w:rFonts w:ascii="Arial" w:hAnsi="Arial" w:hint="default"/>
      </w:rPr>
    </w:lvl>
    <w:lvl w:ilvl="6" w:tplc="4A6EC6B2" w:tentative="1">
      <w:start w:val="1"/>
      <w:numFmt w:val="bullet"/>
      <w:lvlText w:val="•"/>
      <w:lvlJc w:val="left"/>
      <w:pPr>
        <w:tabs>
          <w:tab w:val="num" w:pos="5040"/>
        </w:tabs>
        <w:ind w:left="5040" w:hanging="360"/>
      </w:pPr>
      <w:rPr>
        <w:rFonts w:ascii="Arial" w:hAnsi="Arial" w:hint="default"/>
      </w:rPr>
    </w:lvl>
    <w:lvl w:ilvl="7" w:tplc="3EEE9CF2" w:tentative="1">
      <w:start w:val="1"/>
      <w:numFmt w:val="bullet"/>
      <w:lvlText w:val="•"/>
      <w:lvlJc w:val="left"/>
      <w:pPr>
        <w:tabs>
          <w:tab w:val="num" w:pos="5760"/>
        </w:tabs>
        <w:ind w:left="5760" w:hanging="360"/>
      </w:pPr>
      <w:rPr>
        <w:rFonts w:ascii="Arial" w:hAnsi="Arial" w:hint="default"/>
      </w:rPr>
    </w:lvl>
    <w:lvl w:ilvl="8" w:tplc="996E89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DBE696B"/>
    <w:multiLevelType w:val="hybridMultilevel"/>
    <w:tmpl w:val="191CA916"/>
    <w:lvl w:ilvl="0" w:tplc="A94C54F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672F33"/>
    <w:multiLevelType w:val="multilevel"/>
    <w:tmpl w:val="9F0C19AA"/>
    <w:lvl w:ilvl="0">
      <w:start w:val="1"/>
      <w:numFmt w:val="decimal"/>
      <w:pStyle w:val="Appendix"/>
      <w:suff w:val="nothing"/>
      <w:lvlText w:val="Appendix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F3D4CCE"/>
    <w:multiLevelType w:val="hybridMultilevel"/>
    <w:tmpl w:val="8E468E1E"/>
    <w:lvl w:ilvl="0" w:tplc="9F142EBA">
      <w:start w:val="1"/>
      <w:numFmt w:val="bullet"/>
      <w:lvlText w:val="•"/>
      <w:lvlJc w:val="left"/>
      <w:pPr>
        <w:tabs>
          <w:tab w:val="num" w:pos="720"/>
        </w:tabs>
        <w:ind w:left="720" w:hanging="360"/>
      </w:pPr>
      <w:rPr>
        <w:rFonts w:ascii="Arial" w:hAnsi="Arial" w:hint="default"/>
      </w:rPr>
    </w:lvl>
    <w:lvl w:ilvl="1" w:tplc="E6C6F866">
      <w:numFmt w:val="bullet"/>
      <w:lvlText w:val="•"/>
      <w:lvlJc w:val="left"/>
      <w:pPr>
        <w:tabs>
          <w:tab w:val="num" w:pos="360"/>
        </w:tabs>
        <w:ind w:left="360" w:hanging="360"/>
      </w:pPr>
      <w:rPr>
        <w:rFonts w:ascii="Arial" w:hAnsi="Arial" w:hint="default"/>
      </w:rPr>
    </w:lvl>
    <w:lvl w:ilvl="2" w:tplc="2C2ACB0E" w:tentative="1">
      <w:start w:val="1"/>
      <w:numFmt w:val="bullet"/>
      <w:lvlText w:val="•"/>
      <w:lvlJc w:val="left"/>
      <w:pPr>
        <w:tabs>
          <w:tab w:val="num" w:pos="2160"/>
        </w:tabs>
        <w:ind w:left="2160" w:hanging="360"/>
      </w:pPr>
      <w:rPr>
        <w:rFonts w:ascii="Arial" w:hAnsi="Arial" w:hint="default"/>
      </w:rPr>
    </w:lvl>
    <w:lvl w:ilvl="3" w:tplc="7DEE9C14" w:tentative="1">
      <w:start w:val="1"/>
      <w:numFmt w:val="bullet"/>
      <w:lvlText w:val="•"/>
      <w:lvlJc w:val="left"/>
      <w:pPr>
        <w:tabs>
          <w:tab w:val="num" w:pos="2880"/>
        </w:tabs>
        <w:ind w:left="2880" w:hanging="360"/>
      </w:pPr>
      <w:rPr>
        <w:rFonts w:ascii="Arial" w:hAnsi="Arial" w:hint="default"/>
      </w:rPr>
    </w:lvl>
    <w:lvl w:ilvl="4" w:tplc="522E26FA" w:tentative="1">
      <w:start w:val="1"/>
      <w:numFmt w:val="bullet"/>
      <w:lvlText w:val="•"/>
      <w:lvlJc w:val="left"/>
      <w:pPr>
        <w:tabs>
          <w:tab w:val="num" w:pos="3600"/>
        </w:tabs>
        <w:ind w:left="3600" w:hanging="360"/>
      </w:pPr>
      <w:rPr>
        <w:rFonts w:ascii="Arial" w:hAnsi="Arial" w:hint="default"/>
      </w:rPr>
    </w:lvl>
    <w:lvl w:ilvl="5" w:tplc="D1600970" w:tentative="1">
      <w:start w:val="1"/>
      <w:numFmt w:val="bullet"/>
      <w:lvlText w:val="•"/>
      <w:lvlJc w:val="left"/>
      <w:pPr>
        <w:tabs>
          <w:tab w:val="num" w:pos="4320"/>
        </w:tabs>
        <w:ind w:left="4320" w:hanging="360"/>
      </w:pPr>
      <w:rPr>
        <w:rFonts w:ascii="Arial" w:hAnsi="Arial" w:hint="default"/>
      </w:rPr>
    </w:lvl>
    <w:lvl w:ilvl="6" w:tplc="8A16ED9A" w:tentative="1">
      <w:start w:val="1"/>
      <w:numFmt w:val="bullet"/>
      <w:lvlText w:val="•"/>
      <w:lvlJc w:val="left"/>
      <w:pPr>
        <w:tabs>
          <w:tab w:val="num" w:pos="5040"/>
        </w:tabs>
        <w:ind w:left="5040" w:hanging="360"/>
      </w:pPr>
      <w:rPr>
        <w:rFonts w:ascii="Arial" w:hAnsi="Arial" w:hint="default"/>
      </w:rPr>
    </w:lvl>
    <w:lvl w:ilvl="7" w:tplc="C8F28FC4" w:tentative="1">
      <w:start w:val="1"/>
      <w:numFmt w:val="bullet"/>
      <w:lvlText w:val="•"/>
      <w:lvlJc w:val="left"/>
      <w:pPr>
        <w:tabs>
          <w:tab w:val="num" w:pos="5760"/>
        </w:tabs>
        <w:ind w:left="5760" w:hanging="360"/>
      </w:pPr>
      <w:rPr>
        <w:rFonts w:ascii="Arial" w:hAnsi="Arial" w:hint="default"/>
      </w:rPr>
    </w:lvl>
    <w:lvl w:ilvl="8" w:tplc="B74C766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C36929"/>
    <w:multiLevelType w:val="hybridMultilevel"/>
    <w:tmpl w:val="181AE83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E652D1"/>
    <w:multiLevelType w:val="multilevel"/>
    <w:tmpl w:val="B46AC752"/>
    <w:styleLink w:val="CentredHeadings"/>
    <w:lvl w:ilvl="0">
      <w:start w:val="1"/>
      <w:numFmt w:val="decimal"/>
      <w:suff w:val="nothing"/>
      <w:lvlText w:val="Schedule %1"/>
      <w:lvlJc w:val="left"/>
      <w:pPr>
        <w:ind w:left="0" w:firstLine="0"/>
      </w:pPr>
      <w:rPr>
        <w:color w:val="auto"/>
      </w:rPr>
    </w:lvl>
    <w:lvl w:ilvl="1">
      <w:start w:val="1"/>
      <w:numFmt w:val="decimal"/>
      <w:lvlRestart w:val="0"/>
      <w:suff w:val="nothing"/>
      <w:lvlText w:val="Appendix %2"/>
      <w:lvlJc w:val="left"/>
      <w:pPr>
        <w:ind w:left="0" w:firstLine="0"/>
      </w:pPr>
      <w:rPr>
        <w:color w:val="auto"/>
      </w:rPr>
    </w:lvl>
    <w:lvl w:ilvl="2">
      <w:start w:val="1"/>
      <w:numFmt w:val="decimal"/>
      <w:suff w:val="nothing"/>
      <w:lvlText w:val="Part %3"/>
      <w:lvlJc w:val="left"/>
      <w:pPr>
        <w:ind w:left="0" w:firstLine="0"/>
      </w:pPr>
      <w:rPr>
        <w:color w:val="auto"/>
      </w:rPr>
    </w:lvl>
    <w:lvl w:ilvl="3">
      <w:start w:val="1"/>
      <w:numFmt w:val="decimal"/>
      <w:suff w:val="nothing"/>
      <w:lvlText w:val=""/>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D296539"/>
    <w:multiLevelType w:val="multilevel"/>
    <w:tmpl w:val="9BFED590"/>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0" w:hanging="850"/>
      </w:pPr>
      <w:rPr>
        <w:color w:val="auto"/>
      </w:rPr>
    </w:lvl>
    <w:lvl w:ilvl="2">
      <w:start w:val="1"/>
      <w:numFmt w:val="decimal"/>
      <w:pStyle w:val="Definition3"/>
      <w:lvlText w:val="(%3)"/>
      <w:lvlJc w:val="left"/>
      <w:pPr>
        <w:ind w:left="2550" w:hanging="850"/>
      </w:pPr>
    </w:lvl>
    <w:lvl w:ilvl="3">
      <w:start w:val="1"/>
      <w:numFmt w:val="upperLetter"/>
      <w:pStyle w:val="Definition4"/>
      <w:lvlText w:val="(%4)"/>
      <w:lvlJc w:val="left"/>
      <w:pPr>
        <w:ind w:left="3400"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4DC71310"/>
    <w:multiLevelType w:val="hybridMultilevel"/>
    <w:tmpl w:val="F1B68818"/>
    <w:lvl w:ilvl="0" w:tplc="9ADC68CE">
      <w:start w:val="1"/>
      <w:numFmt w:val="bullet"/>
      <w:lvlText w:val="•"/>
      <w:lvlJc w:val="left"/>
      <w:pPr>
        <w:tabs>
          <w:tab w:val="num" w:pos="720"/>
        </w:tabs>
        <w:ind w:left="720" w:hanging="360"/>
      </w:pPr>
      <w:rPr>
        <w:rFonts w:ascii="Arial" w:hAnsi="Arial" w:hint="default"/>
      </w:rPr>
    </w:lvl>
    <w:lvl w:ilvl="1" w:tplc="1E922E2A">
      <w:start w:val="1"/>
      <w:numFmt w:val="bullet"/>
      <w:lvlText w:val="•"/>
      <w:lvlJc w:val="left"/>
      <w:pPr>
        <w:tabs>
          <w:tab w:val="num" w:pos="360"/>
        </w:tabs>
        <w:ind w:left="360" w:hanging="360"/>
      </w:pPr>
      <w:rPr>
        <w:rFonts w:ascii="Arial" w:hAnsi="Arial" w:hint="default"/>
      </w:rPr>
    </w:lvl>
    <w:lvl w:ilvl="2" w:tplc="57D626DC" w:tentative="1">
      <w:start w:val="1"/>
      <w:numFmt w:val="bullet"/>
      <w:lvlText w:val="•"/>
      <w:lvlJc w:val="left"/>
      <w:pPr>
        <w:tabs>
          <w:tab w:val="num" w:pos="2160"/>
        </w:tabs>
        <w:ind w:left="2160" w:hanging="360"/>
      </w:pPr>
      <w:rPr>
        <w:rFonts w:ascii="Arial" w:hAnsi="Arial" w:hint="default"/>
      </w:rPr>
    </w:lvl>
    <w:lvl w:ilvl="3" w:tplc="3EC8FF3A" w:tentative="1">
      <w:start w:val="1"/>
      <w:numFmt w:val="bullet"/>
      <w:lvlText w:val="•"/>
      <w:lvlJc w:val="left"/>
      <w:pPr>
        <w:tabs>
          <w:tab w:val="num" w:pos="2880"/>
        </w:tabs>
        <w:ind w:left="2880" w:hanging="360"/>
      </w:pPr>
      <w:rPr>
        <w:rFonts w:ascii="Arial" w:hAnsi="Arial" w:hint="default"/>
      </w:rPr>
    </w:lvl>
    <w:lvl w:ilvl="4" w:tplc="14D8F9A0" w:tentative="1">
      <w:start w:val="1"/>
      <w:numFmt w:val="bullet"/>
      <w:lvlText w:val="•"/>
      <w:lvlJc w:val="left"/>
      <w:pPr>
        <w:tabs>
          <w:tab w:val="num" w:pos="3600"/>
        </w:tabs>
        <w:ind w:left="3600" w:hanging="360"/>
      </w:pPr>
      <w:rPr>
        <w:rFonts w:ascii="Arial" w:hAnsi="Arial" w:hint="default"/>
      </w:rPr>
    </w:lvl>
    <w:lvl w:ilvl="5" w:tplc="27D8F834" w:tentative="1">
      <w:start w:val="1"/>
      <w:numFmt w:val="bullet"/>
      <w:lvlText w:val="•"/>
      <w:lvlJc w:val="left"/>
      <w:pPr>
        <w:tabs>
          <w:tab w:val="num" w:pos="4320"/>
        </w:tabs>
        <w:ind w:left="4320" w:hanging="360"/>
      </w:pPr>
      <w:rPr>
        <w:rFonts w:ascii="Arial" w:hAnsi="Arial" w:hint="default"/>
      </w:rPr>
    </w:lvl>
    <w:lvl w:ilvl="6" w:tplc="A2EE1BFA" w:tentative="1">
      <w:start w:val="1"/>
      <w:numFmt w:val="bullet"/>
      <w:lvlText w:val="•"/>
      <w:lvlJc w:val="left"/>
      <w:pPr>
        <w:tabs>
          <w:tab w:val="num" w:pos="5040"/>
        </w:tabs>
        <w:ind w:left="5040" w:hanging="360"/>
      </w:pPr>
      <w:rPr>
        <w:rFonts w:ascii="Arial" w:hAnsi="Arial" w:hint="default"/>
      </w:rPr>
    </w:lvl>
    <w:lvl w:ilvl="7" w:tplc="98965E26" w:tentative="1">
      <w:start w:val="1"/>
      <w:numFmt w:val="bullet"/>
      <w:lvlText w:val="•"/>
      <w:lvlJc w:val="left"/>
      <w:pPr>
        <w:tabs>
          <w:tab w:val="num" w:pos="5760"/>
        </w:tabs>
        <w:ind w:left="5760" w:hanging="360"/>
      </w:pPr>
      <w:rPr>
        <w:rFonts w:ascii="Arial" w:hAnsi="Arial" w:hint="default"/>
      </w:rPr>
    </w:lvl>
    <w:lvl w:ilvl="8" w:tplc="543856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35A5EC4"/>
    <w:multiLevelType w:val="hybridMultilevel"/>
    <w:tmpl w:val="8E2C9E2A"/>
    <w:lvl w:ilvl="0" w:tplc="42681D60">
      <w:start w:val="1"/>
      <w:numFmt w:val="bullet"/>
      <w:lvlText w:val="•"/>
      <w:lvlJc w:val="left"/>
      <w:pPr>
        <w:tabs>
          <w:tab w:val="num" w:pos="720"/>
        </w:tabs>
        <w:ind w:left="720" w:hanging="360"/>
      </w:pPr>
      <w:rPr>
        <w:rFonts w:ascii="Arial" w:hAnsi="Arial" w:hint="default"/>
      </w:rPr>
    </w:lvl>
    <w:lvl w:ilvl="1" w:tplc="537AC826">
      <w:start w:val="1"/>
      <w:numFmt w:val="bullet"/>
      <w:lvlText w:val="•"/>
      <w:lvlJc w:val="left"/>
      <w:pPr>
        <w:tabs>
          <w:tab w:val="num" w:pos="360"/>
        </w:tabs>
        <w:ind w:left="360" w:hanging="360"/>
      </w:pPr>
      <w:rPr>
        <w:rFonts w:ascii="Arial" w:hAnsi="Arial" w:hint="default"/>
      </w:rPr>
    </w:lvl>
    <w:lvl w:ilvl="2" w:tplc="FD3EC7E8" w:tentative="1">
      <w:start w:val="1"/>
      <w:numFmt w:val="bullet"/>
      <w:lvlText w:val="•"/>
      <w:lvlJc w:val="left"/>
      <w:pPr>
        <w:tabs>
          <w:tab w:val="num" w:pos="2160"/>
        </w:tabs>
        <w:ind w:left="2160" w:hanging="360"/>
      </w:pPr>
      <w:rPr>
        <w:rFonts w:ascii="Arial" w:hAnsi="Arial" w:hint="default"/>
      </w:rPr>
    </w:lvl>
    <w:lvl w:ilvl="3" w:tplc="B3A69F80" w:tentative="1">
      <w:start w:val="1"/>
      <w:numFmt w:val="bullet"/>
      <w:lvlText w:val="•"/>
      <w:lvlJc w:val="left"/>
      <w:pPr>
        <w:tabs>
          <w:tab w:val="num" w:pos="2880"/>
        </w:tabs>
        <w:ind w:left="2880" w:hanging="360"/>
      </w:pPr>
      <w:rPr>
        <w:rFonts w:ascii="Arial" w:hAnsi="Arial" w:hint="default"/>
      </w:rPr>
    </w:lvl>
    <w:lvl w:ilvl="4" w:tplc="736C8CDA" w:tentative="1">
      <w:start w:val="1"/>
      <w:numFmt w:val="bullet"/>
      <w:lvlText w:val="•"/>
      <w:lvlJc w:val="left"/>
      <w:pPr>
        <w:tabs>
          <w:tab w:val="num" w:pos="3600"/>
        </w:tabs>
        <w:ind w:left="3600" w:hanging="360"/>
      </w:pPr>
      <w:rPr>
        <w:rFonts w:ascii="Arial" w:hAnsi="Arial" w:hint="default"/>
      </w:rPr>
    </w:lvl>
    <w:lvl w:ilvl="5" w:tplc="293E94AE" w:tentative="1">
      <w:start w:val="1"/>
      <w:numFmt w:val="bullet"/>
      <w:lvlText w:val="•"/>
      <w:lvlJc w:val="left"/>
      <w:pPr>
        <w:tabs>
          <w:tab w:val="num" w:pos="4320"/>
        </w:tabs>
        <w:ind w:left="4320" w:hanging="360"/>
      </w:pPr>
      <w:rPr>
        <w:rFonts w:ascii="Arial" w:hAnsi="Arial" w:hint="default"/>
      </w:rPr>
    </w:lvl>
    <w:lvl w:ilvl="6" w:tplc="58447C1A" w:tentative="1">
      <w:start w:val="1"/>
      <w:numFmt w:val="bullet"/>
      <w:lvlText w:val="•"/>
      <w:lvlJc w:val="left"/>
      <w:pPr>
        <w:tabs>
          <w:tab w:val="num" w:pos="5040"/>
        </w:tabs>
        <w:ind w:left="5040" w:hanging="360"/>
      </w:pPr>
      <w:rPr>
        <w:rFonts w:ascii="Arial" w:hAnsi="Arial" w:hint="default"/>
      </w:rPr>
    </w:lvl>
    <w:lvl w:ilvl="7" w:tplc="749E690E" w:tentative="1">
      <w:start w:val="1"/>
      <w:numFmt w:val="bullet"/>
      <w:lvlText w:val="•"/>
      <w:lvlJc w:val="left"/>
      <w:pPr>
        <w:tabs>
          <w:tab w:val="num" w:pos="5760"/>
        </w:tabs>
        <w:ind w:left="5760" w:hanging="360"/>
      </w:pPr>
      <w:rPr>
        <w:rFonts w:ascii="Arial" w:hAnsi="Arial" w:hint="default"/>
      </w:rPr>
    </w:lvl>
    <w:lvl w:ilvl="8" w:tplc="98962E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506364"/>
    <w:multiLevelType w:val="multilevel"/>
    <w:tmpl w:val="24320B28"/>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701" w:hanging="851"/>
      </w:pPr>
      <w:rPr>
        <w:rFonts w:ascii="Symbol" w:hAnsi="Symbol" w:hint="default"/>
        <w:color w:val="auto"/>
      </w:rPr>
    </w:lvl>
    <w:lvl w:ilvl="2">
      <w:start w:val="1"/>
      <w:numFmt w:val="bullet"/>
      <w:pStyle w:val="Bullet3"/>
      <w:lvlText w:val=""/>
      <w:lvlJc w:val="left"/>
      <w:pPr>
        <w:ind w:left="2551" w:hanging="850"/>
      </w:pPr>
      <w:rPr>
        <w:rFonts w:ascii="Symbol" w:hAnsi="Symbol" w:hint="default"/>
        <w:color w:val="auto"/>
      </w:rPr>
    </w:lvl>
    <w:lvl w:ilvl="3">
      <w:start w:val="1"/>
      <w:numFmt w:val="bullet"/>
      <w:pStyle w:val="Bullet4"/>
      <w:lvlText w:val=""/>
      <w:lvlJc w:val="left"/>
      <w:pPr>
        <w:ind w:left="3402" w:hanging="851"/>
      </w:pPr>
      <w:rPr>
        <w:rFonts w:ascii="Symbol" w:hAnsi="Symbol" w:hint="default"/>
        <w:color w:val="auto"/>
      </w:rPr>
    </w:lvl>
    <w:lvl w:ilvl="4">
      <w:start w:val="1"/>
      <w:numFmt w:val="bullet"/>
      <w:suff w:val="nothing"/>
      <w:lvlText w:val=""/>
      <w:lvlJc w:val="left"/>
      <w:pPr>
        <w:ind w:left="3969"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A484718"/>
    <w:multiLevelType w:val="multilevel"/>
    <w:tmpl w:val="DE921384"/>
    <w:lvl w:ilvl="0">
      <w:start w:val="1"/>
      <w:numFmt w:val="decimal"/>
      <w:pStyle w:val="Level1"/>
      <w:lvlText w:val="%1."/>
      <w:lvlJc w:val="left"/>
      <w:pPr>
        <w:ind w:left="850" w:hanging="850"/>
      </w:pPr>
      <w:rPr>
        <w:rFonts w:hint="default"/>
        <w:b w:val="0"/>
        <w:i w:val="0"/>
        <w:color w:val="auto"/>
      </w:rPr>
    </w:lvl>
    <w:lvl w:ilvl="1">
      <w:start w:val="1"/>
      <w:numFmt w:val="decimal"/>
      <w:pStyle w:val="Level2"/>
      <w:lvlText w:val="%1.%2"/>
      <w:lvlJc w:val="left"/>
      <w:pPr>
        <w:ind w:left="850" w:hanging="850"/>
      </w:pPr>
      <w:rPr>
        <w:rFonts w:hint="default"/>
        <w:b w:val="0"/>
        <w:i w:val="0"/>
        <w:color w:val="auto"/>
      </w:rPr>
    </w:lvl>
    <w:lvl w:ilvl="2">
      <w:start w:val="1"/>
      <w:numFmt w:val="decimal"/>
      <w:pStyle w:val="Level3"/>
      <w:lvlText w:val="%1.%2.%3"/>
      <w:lvlJc w:val="left"/>
      <w:pPr>
        <w:ind w:left="1701" w:hanging="851"/>
      </w:pPr>
      <w:rPr>
        <w:rFonts w:hint="default"/>
        <w:b w:val="0"/>
        <w:i w:val="0"/>
        <w:color w:val="auto"/>
      </w:rPr>
    </w:lvl>
    <w:lvl w:ilvl="3">
      <w:start w:val="1"/>
      <w:numFmt w:val="lowerLetter"/>
      <w:pStyle w:val="Level4"/>
      <w:lvlText w:val="(%4)"/>
      <w:lvlJc w:val="left"/>
      <w:pPr>
        <w:ind w:left="2551" w:hanging="850"/>
      </w:pPr>
      <w:rPr>
        <w:rFonts w:hint="default"/>
        <w:b w:val="0"/>
        <w:i w:val="0"/>
        <w:color w:val="auto"/>
      </w:rPr>
    </w:lvl>
    <w:lvl w:ilvl="4">
      <w:start w:val="1"/>
      <w:numFmt w:val="lowerRoman"/>
      <w:pStyle w:val="Level5"/>
      <w:lvlText w:val="(%5)"/>
      <w:lvlJc w:val="left"/>
      <w:pPr>
        <w:ind w:left="3402" w:hanging="851"/>
      </w:pPr>
      <w:rPr>
        <w:rFonts w:hint="default"/>
        <w:b w:val="0"/>
        <w:i w:val="0"/>
        <w:color w:val="auto"/>
      </w:rPr>
    </w:lvl>
    <w:lvl w:ilvl="5">
      <w:start w:val="1"/>
      <w:numFmt w:val="decimal"/>
      <w:pStyle w:val="Level6"/>
      <w:lvlText w:val="(%6)"/>
      <w:lvlJc w:val="left"/>
      <w:pPr>
        <w:ind w:left="4255" w:hanging="851"/>
      </w:pPr>
      <w:rPr>
        <w:rFonts w:hint="default"/>
        <w:b w:val="0"/>
        <w:i w:val="0"/>
        <w:color w:val="auto"/>
      </w:rPr>
    </w:lvl>
    <w:lvl w:ilvl="6">
      <w:start w:val="1"/>
      <w:numFmt w:val="upperLetter"/>
      <w:pStyle w:val="Level7"/>
      <w:lvlText w:val="(%7)"/>
      <w:lvlJc w:val="left"/>
      <w:pPr>
        <w:ind w:left="5103" w:hanging="85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5EC5F94"/>
    <w:multiLevelType w:val="hybridMultilevel"/>
    <w:tmpl w:val="5DD65F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2E4303"/>
    <w:multiLevelType w:val="hybridMultilevel"/>
    <w:tmpl w:val="DC7AD268"/>
    <w:lvl w:ilvl="0" w:tplc="A94C54FA">
      <w:start w:val="1"/>
      <w:numFmt w:val="bullet"/>
      <w:lvlText w:val="•"/>
      <w:lvlJc w:val="left"/>
      <w:pPr>
        <w:tabs>
          <w:tab w:val="num" w:pos="720"/>
        </w:tabs>
        <w:ind w:left="720" w:hanging="360"/>
      </w:pPr>
      <w:rPr>
        <w:rFonts w:ascii="Arial" w:hAnsi="Arial" w:hint="default"/>
      </w:rPr>
    </w:lvl>
    <w:lvl w:ilvl="1" w:tplc="65527D20">
      <w:start w:val="1"/>
      <w:numFmt w:val="bullet"/>
      <w:lvlText w:val="•"/>
      <w:lvlJc w:val="left"/>
      <w:pPr>
        <w:tabs>
          <w:tab w:val="num" w:pos="360"/>
        </w:tabs>
        <w:ind w:left="360" w:hanging="360"/>
      </w:pPr>
      <w:rPr>
        <w:rFonts w:ascii="Arial" w:hAnsi="Arial" w:hint="default"/>
      </w:rPr>
    </w:lvl>
    <w:lvl w:ilvl="2" w:tplc="7CE28D6C">
      <w:start w:val="2"/>
      <w:numFmt w:val="bullet"/>
      <w:lvlText w:val="-"/>
      <w:lvlJc w:val="left"/>
      <w:pPr>
        <w:ind w:left="2160" w:hanging="360"/>
      </w:pPr>
      <w:rPr>
        <w:rFonts w:ascii="Arial" w:eastAsiaTheme="minorHAnsi" w:hAnsi="Arial" w:cs="Arial" w:hint="default"/>
      </w:rPr>
    </w:lvl>
    <w:lvl w:ilvl="3" w:tplc="97342426" w:tentative="1">
      <w:start w:val="1"/>
      <w:numFmt w:val="bullet"/>
      <w:lvlText w:val="•"/>
      <w:lvlJc w:val="left"/>
      <w:pPr>
        <w:tabs>
          <w:tab w:val="num" w:pos="2880"/>
        </w:tabs>
        <w:ind w:left="2880" w:hanging="360"/>
      </w:pPr>
      <w:rPr>
        <w:rFonts w:ascii="Arial" w:hAnsi="Arial" w:hint="default"/>
      </w:rPr>
    </w:lvl>
    <w:lvl w:ilvl="4" w:tplc="2FD2E03E" w:tentative="1">
      <w:start w:val="1"/>
      <w:numFmt w:val="bullet"/>
      <w:lvlText w:val="•"/>
      <w:lvlJc w:val="left"/>
      <w:pPr>
        <w:tabs>
          <w:tab w:val="num" w:pos="3600"/>
        </w:tabs>
        <w:ind w:left="3600" w:hanging="360"/>
      </w:pPr>
      <w:rPr>
        <w:rFonts w:ascii="Arial" w:hAnsi="Arial" w:hint="default"/>
      </w:rPr>
    </w:lvl>
    <w:lvl w:ilvl="5" w:tplc="57E8E01A" w:tentative="1">
      <w:start w:val="1"/>
      <w:numFmt w:val="bullet"/>
      <w:lvlText w:val="•"/>
      <w:lvlJc w:val="left"/>
      <w:pPr>
        <w:tabs>
          <w:tab w:val="num" w:pos="4320"/>
        </w:tabs>
        <w:ind w:left="4320" w:hanging="360"/>
      </w:pPr>
      <w:rPr>
        <w:rFonts w:ascii="Arial" w:hAnsi="Arial" w:hint="default"/>
      </w:rPr>
    </w:lvl>
    <w:lvl w:ilvl="6" w:tplc="CCF2D82E" w:tentative="1">
      <w:start w:val="1"/>
      <w:numFmt w:val="bullet"/>
      <w:lvlText w:val="•"/>
      <w:lvlJc w:val="left"/>
      <w:pPr>
        <w:tabs>
          <w:tab w:val="num" w:pos="5040"/>
        </w:tabs>
        <w:ind w:left="5040" w:hanging="360"/>
      </w:pPr>
      <w:rPr>
        <w:rFonts w:ascii="Arial" w:hAnsi="Arial" w:hint="default"/>
      </w:rPr>
    </w:lvl>
    <w:lvl w:ilvl="7" w:tplc="E7901576" w:tentative="1">
      <w:start w:val="1"/>
      <w:numFmt w:val="bullet"/>
      <w:lvlText w:val="•"/>
      <w:lvlJc w:val="left"/>
      <w:pPr>
        <w:tabs>
          <w:tab w:val="num" w:pos="5760"/>
        </w:tabs>
        <w:ind w:left="5760" w:hanging="360"/>
      </w:pPr>
      <w:rPr>
        <w:rFonts w:ascii="Arial" w:hAnsi="Arial" w:hint="default"/>
      </w:rPr>
    </w:lvl>
    <w:lvl w:ilvl="8" w:tplc="AAD64EA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72C477A"/>
    <w:multiLevelType w:val="hybridMultilevel"/>
    <w:tmpl w:val="8FD0B4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B41BD9"/>
    <w:multiLevelType w:val="hybridMultilevel"/>
    <w:tmpl w:val="27FA0E9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2406EC"/>
    <w:multiLevelType w:val="hybridMultilevel"/>
    <w:tmpl w:val="8BD023AA"/>
    <w:lvl w:ilvl="0" w:tplc="94F402CE">
      <w:start w:val="1"/>
      <w:numFmt w:val="bullet"/>
      <w:lvlText w:val="•"/>
      <w:lvlJc w:val="left"/>
      <w:pPr>
        <w:tabs>
          <w:tab w:val="num" w:pos="720"/>
        </w:tabs>
        <w:ind w:left="720" w:hanging="360"/>
      </w:pPr>
      <w:rPr>
        <w:rFonts w:ascii="Arial" w:hAnsi="Arial" w:hint="default"/>
      </w:rPr>
    </w:lvl>
    <w:lvl w:ilvl="1" w:tplc="0B82FF48">
      <w:start w:val="1"/>
      <w:numFmt w:val="bullet"/>
      <w:lvlText w:val="•"/>
      <w:lvlJc w:val="left"/>
      <w:pPr>
        <w:tabs>
          <w:tab w:val="num" w:pos="360"/>
        </w:tabs>
        <w:ind w:left="360" w:hanging="360"/>
      </w:pPr>
      <w:rPr>
        <w:rFonts w:ascii="Arial" w:hAnsi="Arial" w:hint="default"/>
      </w:rPr>
    </w:lvl>
    <w:lvl w:ilvl="2" w:tplc="FEEE8B32" w:tentative="1">
      <w:start w:val="1"/>
      <w:numFmt w:val="bullet"/>
      <w:lvlText w:val="•"/>
      <w:lvlJc w:val="left"/>
      <w:pPr>
        <w:tabs>
          <w:tab w:val="num" w:pos="2160"/>
        </w:tabs>
        <w:ind w:left="2160" w:hanging="360"/>
      </w:pPr>
      <w:rPr>
        <w:rFonts w:ascii="Arial" w:hAnsi="Arial" w:hint="default"/>
      </w:rPr>
    </w:lvl>
    <w:lvl w:ilvl="3" w:tplc="9EE8B84C" w:tentative="1">
      <w:start w:val="1"/>
      <w:numFmt w:val="bullet"/>
      <w:lvlText w:val="•"/>
      <w:lvlJc w:val="left"/>
      <w:pPr>
        <w:tabs>
          <w:tab w:val="num" w:pos="2880"/>
        </w:tabs>
        <w:ind w:left="2880" w:hanging="360"/>
      </w:pPr>
      <w:rPr>
        <w:rFonts w:ascii="Arial" w:hAnsi="Arial" w:hint="default"/>
      </w:rPr>
    </w:lvl>
    <w:lvl w:ilvl="4" w:tplc="B4941CE4" w:tentative="1">
      <w:start w:val="1"/>
      <w:numFmt w:val="bullet"/>
      <w:lvlText w:val="•"/>
      <w:lvlJc w:val="left"/>
      <w:pPr>
        <w:tabs>
          <w:tab w:val="num" w:pos="3600"/>
        </w:tabs>
        <w:ind w:left="3600" w:hanging="360"/>
      </w:pPr>
      <w:rPr>
        <w:rFonts w:ascii="Arial" w:hAnsi="Arial" w:hint="default"/>
      </w:rPr>
    </w:lvl>
    <w:lvl w:ilvl="5" w:tplc="BF46579A" w:tentative="1">
      <w:start w:val="1"/>
      <w:numFmt w:val="bullet"/>
      <w:lvlText w:val="•"/>
      <w:lvlJc w:val="left"/>
      <w:pPr>
        <w:tabs>
          <w:tab w:val="num" w:pos="4320"/>
        </w:tabs>
        <w:ind w:left="4320" w:hanging="360"/>
      </w:pPr>
      <w:rPr>
        <w:rFonts w:ascii="Arial" w:hAnsi="Arial" w:hint="default"/>
      </w:rPr>
    </w:lvl>
    <w:lvl w:ilvl="6" w:tplc="4B7AECE0" w:tentative="1">
      <w:start w:val="1"/>
      <w:numFmt w:val="bullet"/>
      <w:lvlText w:val="•"/>
      <w:lvlJc w:val="left"/>
      <w:pPr>
        <w:tabs>
          <w:tab w:val="num" w:pos="5040"/>
        </w:tabs>
        <w:ind w:left="5040" w:hanging="360"/>
      </w:pPr>
      <w:rPr>
        <w:rFonts w:ascii="Arial" w:hAnsi="Arial" w:hint="default"/>
      </w:rPr>
    </w:lvl>
    <w:lvl w:ilvl="7" w:tplc="E4F41572" w:tentative="1">
      <w:start w:val="1"/>
      <w:numFmt w:val="bullet"/>
      <w:lvlText w:val="•"/>
      <w:lvlJc w:val="left"/>
      <w:pPr>
        <w:tabs>
          <w:tab w:val="num" w:pos="5760"/>
        </w:tabs>
        <w:ind w:left="5760" w:hanging="360"/>
      </w:pPr>
      <w:rPr>
        <w:rFonts w:ascii="Arial" w:hAnsi="Arial" w:hint="default"/>
      </w:rPr>
    </w:lvl>
    <w:lvl w:ilvl="8" w:tplc="1B42158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CDC783B"/>
    <w:multiLevelType w:val="hybridMultilevel"/>
    <w:tmpl w:val="7A4E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2130AA"/>
    <w:multiLevelType w:val="multilevel"/>
    <w:tmpl w:val="19CC1D62"/>
    <w:lvl w:ilvl="0">
      <w:start w:val="1"/>
      <w:numFmt w:val="none"/>
      <w:pStyle w:val="Definition"/>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701"/>
        </w:tabs>
        <w:ind w:left="1701" w:hanging="850"/>
      </w:pPr>
      <w:rPr>
        <w:rFonts w:hint="default"/>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1C3E5B"/>
    <w:multiLevelType w:val="multilevel"/>
    <w:tmpl w:val="2DA81670"/>
    <w:styleLink w:val="GeneralHeadings"/>
    <w:lvl w:ilvl="0">
      <w:start w:val="1"/>
      <w:numFmt w:val="none"/>
      <w:pStyle w:val="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37"/>
  </w:num>
  <w:num w:numId="3">
    <w:abstractNumId w:val="33"/>
  </w:num>
  <w:num w:numId="4">
    <w:abstractNumId w:val="45"/>
  </w:num>
  <w:num w:numId="5">
    <w:abstractNumId w:val="34"/>
  </w:num>
  <w:num w:numId="6">
    <w:abstractNumId w:val="46"/>
  </w:num>
  <w:num w:numId="7">
    <w:abstractNumId w:val="38"/>
  </w:num>
  <w:num w:numId="8">
    <w:abstractNumId w:val="5"/>
  </w:num>
  <w:num w:numId="9">
    <w:abstractNumId w:val="4"/>
  </w:num>
  <w:num w:numId="10">
    <w:abstractNumId w:val="3"/>
  </w:num>
  <w:num w:numId="11">
    <w:abstractNumId w:val="2"/>
  </w:num>
  <w:num w:numId="12">
    <w:abstractNumId w:val="1"/>
  </w:num>
  <w:num w:numId="13">
    <w:abstractNumId w:val="16"/>
  </w:num>
  <w:num w:numId="14">
    <w:abstractNumId w:val="30"/>
  </w:num>
  <w:num w:numId="15">
    <w:abstractNumId w:val="20"/>
  </w:num>
  <w:num w:numId="16">
    <w:abstractNumId w:val="11"/>
  </w:num>
  <w:num w:numId="17">
    <w:abstractNumId w:val="46"/>
  </w:num>
  <w:num w:numId="18">
    <w:abstractNumId w:val="0"/>
  </w:num>
  <w:num w:numId="19">
    <w:abstractNumId w:val="18"/>
  </w:num>
  <w:num w:numId="20">
    <w:abstractNumId w:val="39"/>
  </w:num>
  <w:num w:numId="21">
    <w:abstractNumId w:val="14"/>
  </w:num>
  <w:num w:numId="22">
    <w:abstractNumId w:val="26"/>
  </w:num>
  <w:num w:numId="23">
    <w:abstractNumId w:val="21"/>
  </w:num>
  <w:num w:numId="24">
    <w:abstractNumId w:val="27"/>
  </w:num>
  <w:num w:numId="25">
    <w:abstractNumId w:val="43"/>
  </w:num>
  <w:num w:numId="26">
    <w:abstractNumId w:val="35"/>
  </w:num>
  <w:num w:numId="27">
    <w:abstractNumId w:val="31"/>
  </w:num>
  <w:num w:numId="28">
    <w:abstractNumId w:val="28"/>
  </w:num>
  <w:num w:numId="29">
    <w:abstractNumId w:val="36"/>
  </w:num>
  <w:num w:numId="30">
    <w:abstractNumId w:val="40"/>
  </w:num>
  <w:num w:numId="31">
    <w:abstractNumId w:val="25"/>
  </w:num>
  <w:num w:numId="32">
    <w:abstractNumId w:val="15"/>
  </w:num>
  <w:num w:numId="33">
    <w:abstractNumId w:val="23"/>
  </w:num>
  <w:num w:numId="34">
    <w:abstractNumId w:val="19"/>
  </w:num>
  <w:num w:numId="35">
    <w:abstractNumId w:val="22"/>
  </w:num>
  <w:num w:numId="36">
    <w:abstractNumId w:val="29"/>
  </w:num>
  <w:num w:numId="37">
    <w:abstractNumId w:val="17"/>
  </w:num>
  <w:num w:numId="38">
    <w:abstractNumId w:val="10"/>
  </w:num>
  <w:num w:numId="39">
    <w:abstractNumId w:val="8"/>
  </w:num>
  <w:num w:numId="40">
    <w:abstractNumId w:val="12"/>
  </w:num>
  <w:num w:numId="41">
    <w:abstractNumId w:val="44"/>
  </w:num>
  <w:num w:numId="42">
    <w:abstractNumId w:val="9"/>
  </w:num>
  <w:num w:numId="43">
    <w:abstractNumId w:val="42"/>
  </w:num>
  <w:num w:numId="44">
    <w:abstractNumId w:val="7"/>
  </w:num>
  <w:num w:numId="45">
    <w:abstractNumId w:val="32"/>
  </w:num>
  <w:num w:numId="46">
    <w:abstractNumId w:val="24"/>
  </w:num>
  <w:num w:numId="47">
    <w:abstractNumId w:val="41"/>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851"/>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llet _NumBodies" w:val="0"/>
    <w:docVar w:name="Level _NumBodies" w:val="6"/>
    <w:docVar w:name="PIM_Brand" w:val="9"/>
  </w:docVars>
  <w:rsids>
    <w:rsidRoot w:val="00C30538"/>
    <w:rsid w:val="00000680"/>
    <w:rsid w:val="00002F5B"/>
    <w:rsid w:val="00003909"/>
    <w:rsid w:val="00003915"/>
    <w:rsid w:val="00003D8A"/>
    <w:rsid w:val="00006DB4"/>
    <w:rsid w:val="00010226"/>
    <w:rsid w:val="0001172D"/>
    <w:rsid w:val="000141B8"/>
    <w:rsid w:val="00014EDC"/>
    <w:rsid w:val="00020BC9"/>
    <w:rsid w:val="00024801"/>
    <w:rsid w:val="00025BB7"/>
    <w:rsid w:val="000274BF"/>
    <w:rsid w:val="00027F6A"/>
    <w:rsid w:val="00030B43"/>
    <w:rsid w:val="00031045"/>
    <w:rsid w:val="00031159"/>
    <w:rsid w:val="00032FEB"/>
    <w:rsid w:val="000346A1"/>
    <w:rsid w:val="00034BF3"/>
    <w:rsid w:val="00034EED"/>
    <w:rsid w:val="00041F13"/>
    <w:rsid w:val="000421F0"/>
    <w:rsid w:val="00042C47"/>
    <w:rsid w:val="00045EED"/>
    <w:rsid w:val="00047DA8"/>
    <w:rsid w:val="00051672"/>
    <w:rsid w:val="000532B7"/>
    <w:rsid w:val="000542C1"/>
    <w:rsid w:val="00061AA3"/>
    <w:rsid w:val="00063F05"/>
    <w:rsid w:val="0007016A"/>
    <w:rsid w:val="0007046F"/>
    <w:rsid w:val="0007232D"/>
    <w:rsid w:val="00075FC4"/>
    <w:rsid w:val="00077FA4"/>
    <w:rsid w:val="00083744"/>
    <w:rsid w:val="00085EEA"/>
    <w:rsid w:val="00093BEF"/>
    <w:rsid w:val="0009623D"/>
    <w:rsid w:val="00097843"/>
    <w:rsid w:val="000A247C"/>
    <w:rsid w:val="000A53D3"/>
    <w:rsid w:val="000A61F5"/>
    <w:rsid w:val="000B06F4"/>
    <w:rsid w:val="000B6E9F"/>
    <w:rsid w:val="000C7A87"/>
    <w:rsid w:val="000D2434"/>
    <w:rsid w:val="000E0223"/>
    <w:rsid w:val="000E14AA"/>
    <w:rsid w:val="000E190A"/>
    <w:rsid w:val="000E204A"/>
    <w:rsid w:val="000E3145"/>
    <w:rsid w:val="000E3BDF"/>
    <w:rsid w:val="000E4495"/>
    <w:rsid w:val="000E46DF"/>
    <w:rsid w:val="000E55A2"/>
    <w:rsid w:val="000E5862"/>
    <w:rsid w:val="000E6681"/>
    <w:rsid w:val="000E7219"/>
    <w:rsid w:val="000F053C"/>
    <w:rsid w:val="000F1709"/>
    <w:rsid w:val="0010203A"/>
    <w:rsid w:val="001055C0"/>
    <w:rsid w:val="00111105"/>
    <w:rsid w:val="001150F9"/>
    <w:rsid w:val="00117246"/>
    <w:rsid w:val="00120149"/>
    <w:rsid w:val="00120883"/>
    <w:rsid w:val="001221B1"/>
    <w:rsid w:val="0012236F"/>
    <w:rsid w:val="0012725A"/>
    <w:rsid w:val="001337F3"/>
    <w:rsid w:val="00136664"/>
    <w:rsid w:val="00137749"/>
    <w:rsid w:val="001418D6"/>
    <w:rsid w:val="001447F5"/>
    <w:rsid w:val="00144C5B"/>
    <w:rsid w:val="001465AC"/>
    <w:rsid w:val="00157CDA"/>
    <w:rsid w:val="00160E1C"/>
    <w:rsid w:val="00160ECB"/>
    <w:rsid w:val="0016236F"/>
    <w:rsid w:val="001627CF"/>
    <w:rsid w:val="0016338D"/>
    <w:rsid w:val="00163865"/>
    <w:rsid w:val="0017339D"/>
    <w:rsid w:val="001769FD"/>
    <w:rsid w:val="001776C2"/>
    <w:rsid w:val="001802B3"/>
    <w:rsid w:val="00181330"/>
    <w:rsid w:val="00181369"/>
    <w:rsid w:val="0018601D"/>
    <w:rsid w:val="00194685"/>
    <w:rsid w:val="001A39A6"/>
    <w:rsid w:val="001A3F32"/>
    <w:rsid w:val="001B2C1D"/>
    <w:rsid w:val="001B2D4B"/>
    <w:rsid w:val="001B4F8C"/>
    <w:rsid w:val="001C0120"/>
    <w:rsid w:val="001C171F"/>
    <w:rsid w:val="001C1BD0"/>
    <w:rsid w:val="001C57CB"/>
    <w:rsid w:val="001D250E"/>
    <w:rsid w:val="001D64D0"/>
    <w:rsid w:val="001D64F2"/>
    <w:rsid w:val="001D6810"/>
    <w:rsid w:val="001D764F"/>
    <w:rsid w:val="001D7A8E"/>
    <w:rsid w:val="001E1AC8"/>
    <w:rsid w:val="001E3F88"/>
    <w:rsid w:val="001E4B6E"/>
    <w:rsid w:val="001E4F61"/>
    <w:rsid w:val="001F23C2"/>
    <w:rsid w:val="001F285E"/>
    <w:rsid w:val="001F2986"/>
    <w:rsid w:val="001F61D5"/>
    <w:rsid w:val="00205DB1"/>
    <w:rsid w:val="00207DD9"/>
    <w:rsid w:val="00213E10"/>
    <w:rsid w:val="00222921"/>
    <w:rsid w:val="00223151"/>
    <w:rsid w:val="0022730B"/>
    <w:rsid w:val="002328B6"/>
    <w:rsid w:val="00233668"/>
    <w:rsid w:val="00234E7A"/>
    <w:rsid w:val="00235F82"/>
    <w:rsid w:val="002450F3"/>
    <w:rsid w:val="00246324"/>
    <w:rsid w:val="00251B81"/>
    <w:rsid w:val="00251D0D"/>
    <w:rsid w:val="00253C05"/>
    <w:rsid w:val="0025651D"/>
    <w:rsid w:val="0025750A"/>
    <w:rsid w:val="00257D2E"/>
    <w:rsid w:val="00261E59"/>
    <w:rsid w:val="002663B2"/>
    <w:rsid w:val="0026687F"/>
    <w:rsid w:val="00266E75"/>
    <w:rsid w:val="002675E3"/>
    <w:rsid w:val="002723D1"/>
    <w:rsid w:val="00274682"/>
    <w:rsid w:val="00275DE5"/>
    <w:rsid w:val="0027658F"/>
    <w:rsid w:val="002849B2"/>
    <w:rsid w:val="00284C3E"/>
    <w:rsid w:val="00286ED6"/>
    <w:rsid w:val="0029641D"/>
    <w:rsid w:val="002A20B4"/>
    <w:rsid w:val="002B448E"/>
    <w:rsid w:val="002B75A8"/>
    <w:rsid w:val="002B7C73"/>
    <w:rsid w:val="002B7FB3"/>
    <w:rsid w:val="002C6D86"/>
    <w:rsid w:val="002D16B8"/>
    <w:rsid w:val="002D4654"/>
    <w:rsid w:val="002D4EA0"/>
    <w:rsid w:val="002E254F"/>
    <w:rsid w:val="002E4FFB"/>
    <w:rsid w:val="002F00F9"/>
    <w:rsid w:val="002F30B0"/>
    <w:rsid w:val="002F7ED8"/>
    <w:rsid w:val="00304F67"/>
    <w:rsid w:val="0030569C"/>
    <w:rsid w:val="0030597C"/>
    <w:rsid w:val="0030696A"/>
    <w:rsid w:val="00310883"/>
    <w:rsid w:val="00312936"/>
    <w:rsid w:val="00313404"/>
    <w:rsid w:val="00313E58"/>
    <w:rsid w:val="00316537"/>
    <w:rsid w:val="00316AA7"/>
    <w:rsid w:val="0032033F"/>
    <w:rsid w:val="0032109A"/>
    <w:rsid w:val="003228EB"/>
    <w:rsid w:val="00327B5A"/>
    <w:rsid w:val="003301C7"/>
    <w:rsid w:val="00331326"/>
    <w:rsid w:val="0033337F"/>
    <w:rsid w:val="00333581"/>
    <w:rsid w:val="00333838"/>
    <w:rsid w:val="003363EF"/>
    <w:rsid w:val="003368DB"/>
    <w:rsid w:val="00341C8D"/>
    <w:rsid w:val="00342E7A"/>
    <w:rsid w:val="00344EC8"/>
    <w:rsid w:val="003460D9"/>
    <w:rsid w:val="00347637"/>
    <w:rsid w:val="00347718"/>
    <w:rsid w:val="00351FD5"/>
    <w:rsid w:val="003536FE"/>
    <w:rsid w:val="003570BD"/>
    <w:rsid w:val="003570DE"/>
    <w:rsid w:val="003623E2"/>
    <w:rsid w:val="00362726"/>
    <w:rsid w:val="003627FC"/>
    <w:rsid w:val="0036299D"/>
    <w:rsid w:val="003703A5"/>
    <w:rsid w:val="00373793"/>
    <w:rsid w:val="00374959"/>
    <w:rsid w:val="00375B21"/>
    <w:rsid w:val="003819F2"/>
    <w:rsid w:val="003842D0"/>
    <w:rsid w:val="003947D1"/>
    <w:rsid w:val="003964C5"/>
    <w:rsid w:val="00396A95"/>
    <w:rsid w:val="00396B2D"/>
    <w:rsid w:val="003A0E40"/>
    <w:rsid w:val="003A3079"/>
    <w:rsid w:val="003A6313"/>
    <w:rsid w:val="003A7C5F"/>
    <w:rsid w:val="003B5D33"/>
    <w:rsid w:val="003C6B74"/>
    <w:rsid w:val="003C7098"/>
    <w:rsid w:val="003C7925"/>
    <w:rsid w:val="003D3E70"/>
    <w:rsid w:val="003D66DA"/>
    <w:rsid w:val="003E09F9"/>
    <w:rsid w:val="003E0B45"/>
    <w:rsid w:val="003E3283"/>
    <w:rsid w:val="003E74D4"/>
    <w:rsid w:val="003F2DA7"/>
    <w:rsid w:val="003F44B7"/>
    <w:rsid w:val="003F6348"/>
    <w:rsid w:val="003F6F0E"/>
    <w:rsid w:val="003F70D2"/>
    <w:rsid w:val="003F7A53"/>
    <w:rsid w:val="00403888"/>
    <w:rsid w:val="00405408"/>
    <w:rsid w:val="00407C0C"/>
    <w:rsid w:val="00407CC1"/>
    <w:rsid w:val="00412A96"/>
    <w:rsid w:val="0041481E"/>
    <w:rsid w:val="00414D6C"/>
    <w:rsid w:val="00415B35"/>
    <w:rsid w:val="00415C2B"/>
    <w:rsid w:val="00417E09"/>
    <w:rsid w:val="0042278D"/>
    <w:rsid w:val="00430514"/>
    <w:rsid w:val="00431764"/>
    <w:rsid w:val="004332DB"/>
    <w:rsid w:val="00444ABC"/>
    <w:rsid w:val="00444D7C"/>
    <w:rsid w:val="004451FB"/>
    <w:rsid w:val="00445FC0"/>
    <w:rsid w:val="004461A2"/>
    <w:rsid w:val="004474A9"/>
    <w:rsid w:val="004533FD"/>
    <w:rsid w:val="00453476"/>
    <w:rsid w:val="004558B7"/>
    <w:rsid w:val="00455F09"/>
    <w:rsid w:val="00461316"/>
    <w:rsid w:val="00461ACC"/>
    <w:rsid w:val="00461F8A"/>
    <w:rsid w:val="00463D27"/>
    <w:rsid w:val="004700B9"/>
    <w:rsid w:val="00470144"/>
    <w:rsid w:val="004720DB"/>
    <w:rsid w:val="00473FFD"/>
    <w:rsid w:val="00481009"/>
    <w:rsid w:val="0048165C"/>
    <w:rsid w:val="00482055"/>
    <w:rsid w:val="00487A77"/>
    <w:rsid w:val="00490905"/>
    <w:rsid w:val="00490D39"/>
    <w:rsid w:val="00491E8D"/>
    <w:rsid w:val="004928BC"/>
    <w:rsid w:val="004A0E53"/>
    <w:rsid w:val="004A216F"/>
    <w:rsid w:val="004A36F7"/>
    <w:rsid w:val="004A59E8"/>
    <w:rsid w:val="004A6C83"/>
    <w:rsid w:val="004A7B2F"/>
    <w:rsid w:val="004B4224"/>
    <w:rsid w:val="004B42EF"/>
    <w:rsid w:val="004B4620"/>
    <w:rsid w:val="004B7B88"/>
    <w:rsid w:val="004C0743"/>
    <w:rsid w:val="004C378B"/>
    <w:rsid w:val="004C47F9"/>
    <w:rsid w:val="004C4A1B"/>
    <w:rsid w:val="004C635E"/>
    <w:rsid w:val="004D0B5D"/>
    <w:rsid w:val="004D4F69"/>
    <w:rsid w:val="004D556D"/>
    <w:rsid w:val="004D7549"/>
    <w:rsid w:val="004E0D47"/>
    <w:rsid w:val="004E2072"/>
    <w:rsid w:val="004E7CA5"/>
    <w:rsid w:val="004F2B52"/>
    <w:rsid w:val="004F3740"/>
    <w:rsid w:val="004F5C70"/>
    <w:rsid w:val="00500E9F"/>
    <w:rsid w:val="005020C4"/>
    <w:rsid w:val="00503105"/>
    <w:rsid w:val="00505F4D"/>
    <w:rsid w:val="00510C41"/>
    <w:rsid w:val="005115C4"/>
    <w:rsid w:val="00511E98"/>
    <w:rsid w:val="005133B3"/>
    <w:rsid w:val="005161F7"/>
    <w:rsid w:val="0052375A"/>
    <w:rsid w:val="00523878"/>
    <w:rsid w:val="00531276"/>
    <w:rsid w:val="00531CF5"/>
    <w:rsid w:val="00532A7B"/>
    <w:rsid w:val="00544087"/>
    <w:rsid w:val="00546C7F"/>
    <w:rsid w:val="00550801"/>
    <w:rsid w:val="0055119E"/>
    <w:rsid w:val="005535DD"/>
    <w:rsid w:val="00553FB4"/>
    <w:rsid w:val="00555834"/>
    <w:rsid w:val="0055783B"/>
    <w:rsid w:val="00570371"/>
    <w:rsid w:val="005710B2"/>
    <w:rsid w:val="0057492E"/>
    <w:rsid w:val="005769E6"/>
    <w:rsid w:val="00583438"/>
    <w:rsid w:val="00583978"/>
    <w:rsid w:val="00584C35"/>
    <w:rsid w:val="00587CF4"/>
    <w:rsid w:val="00594BE2"/>
    <w:rsid w:val="0059561D"/>
    <w:rsid w:val="005A0668"/>
    <w:rsid w:val="005A0D04"/>
    <w:rsid w:val="005A131E"/>
    <w:rsid w:val="005A1438"/>
    <w:rsid w:val="005A1BCF"/>
    <w:rsid w:val="005A2C17"/>
    <w:rsid w:val="005A6C3E"/>
    <w:rsid w:val="005A7FA9"/>
    <w:rsid w:val="005B4577"/>
    <w:rsid w:val="005B4D63"/>
    <w:rsid w:val="005C7952"/>
    <w:rsid w:val="005D6E74"/>
    <w:rsid w:val="005E0BD7"/>
    <w:rsid w:val="005E178B"/>
    <w:rsid w:val="005E1F09"/>
    <w:rsid w:val="005E3464"/>
    <w:rsid w:val="005E374E"/>
    <w:rsid w:val="005E5827"/>
    <w:rsid w:val="005E6370"/>
    <w:rsid w:val="005E7BBC"/>
    <w:rsid w:val="005F2256"/>
    <w:rsid w:val="005F28C1"/>
    <w:rsid w:val="005F3923"/>
    <w:rsid w:val="005F4ADF"/>
    <w:rsid w:val="005F78E7"/>
    <w:rsid w:val="00602A6F"/>
    <w:rsid w:val="00603F1A"/>
    <w:rsid w:val="00605123"/>
    <w:rsid w:val="00610AA8"/>
    <w:rsid w:val="00612B97"/>
    <w:rsid w:val="006135B8"/>
    <w:rsid w:val="00614903"/>
    <w:rsid w:val="0061796E"/>
    <w:rsid w:val="00620AFA"/>
    <w:rsid w:val="006217B9"/>
    <w:rsid w:val="006310E2"/>
    <w:rsid w:val="0063272A"/>
    <w:rsid w:val="00634313"/>
    <w:rsid w:val="0063581C"/>
    <w:rsid w:val="006359CD"/>
    <w:rsid w:val="00635F1C"/>
    <w:rsid w:val="006406EA"/>
    <w:rsid w:val="00640D81"/>
    <w:rsid w:val="00640EEF"/>
    <w:rsid w:val="00640FFE"/>
    <w:rsid w:val="00642044"/>
    <w:rsid w:val="00642173"/>
    <w:rsid w:val="00645631"/>
    <w:rsid w:val="00645B17"/>
    <w:rsid w:val="00646D61"/>
    <w:rsid w:val="0065062B"/>
    <w:rsid w:val="006517D5"/>
    <w:rsid w:val="006521C5"/>
    <w:rsid w:val="00653E12"/>
    <w:rsid w:val="00662975"/>
    <w:rsid w:val="00670640"/>
    <w:rsid w:val="006707F7"/>
    <w:rsid w:val="00680640"/>
    <w:rsid w:val="00680CE6"/>
    <w:rsid w:val="006811F5"/>
    <w:rsid w:val="006814AF"/>
    <w:rsid w:val="00683D09"/>
    <w:rsid w:val="00683FB9"/>
    <w:rsid w:val="00692F0D"/>
    <w:rsid w:val="0069478C"/>
    <w:rsid w:val="00694D3C"/>
    <w:rsid w:val="006A1907"/>
    <w:rsid w:val="006A3FB6"/>
    <w:rsid w:val="006A469C"/>
    <w:rsid w:val="006A61BF"/>
    <w:rsid w:val="006A684F"/>
    <w:rsid w:val="006A69A0"/>
    <w:rsid w:val="006B6C67"/>
    <w:rsid w:val="006B791A"/>
    <w:rsid w:val="006C4E0F"/>
    <w:rsid w:val="006C4EE5"/>
    <w:rsid w:val="006C6BCE"/>
    <w:rsid w:val="006D0B55"/>
    <w:rsid w:val="006D3048"/>
    <w:rsid w:val="006E02C4"/>
    <w:rsid w:val="006E451B"/>
    <w:rsid w:val="006F261A"/>
    <w:rsid w:val="006F74EB"/>
    <w:rsid w:val="006F750B"/>
    <w:rsid w:val="0070307E"/>
    <w:rsid w:val="0070541B"/>
    <w:rsid w:val="00705897"/>
    <w:rsid w:val="00707447"/>
    <w:rsid w:val="007074CD"/>
    <w:rsid w:val="00707D2A"/>
    <w:rsid w:val="0071020A"/>
    <w:rsid w:val="007125AB"/>
    <w:rsid w:val="007136B4"/>
    <w:rsid w:val="00716532"/>
    <w:rsid w:val="00716785"/>
    <w:rsid w:val="00721102"/>
    <w:rsid w:val="00721F08"/>
    <w:rsid w:val="0072397F"/>
    <w:rsid w:val="00724A64"/>
    <w:rsid w:val="00725DC2"/>
    <w:rsid w:val="00726CDE"/>
    <w:rsid w:val="00736FFA"/>
    <w:rsid w:val="00737541"/>
    <w:rsid w:val="00740BFB"/>
    <w:rsid w:val="0074391D"/>
    <w:rsid w:val="00744810"/>
    <w:rsid w:val="007463F7"/>
    <w:rsid w:val="00757DE5"/>
    <w:rsid w:val="00760703"/>
    <w:rsid w:val="0076218F"/>
    <w:rsid w:val="0076322B"/>
    <w:rsid w:val="007701FD"/>
    <w:rsid w:val="007712A5"/>
    <w:rsid w:val="0077202E"/>
    <w:rsid w:val="0077475F"/>
    <w:rsid w:val="00776D84"/>
    <w:rsid w:val="00780155"/>
    <w:rsid w:val="00781508"/>
    <w:rsid w:val="007822FD"/>
    <w:rsid w:val="00783328"/>
    <w:rsid w:val="00791BAB"/>
    <w:rsid w:val="00791D4B"/>
    <w:rsid w:val="00793615"/>
    <w:rsid w:val="007A12F9"/>
    <w:rsid w:val="007A190C"/>
    <w:rsid w:val="007A683A"/>
    <w:rsid w:val="007A78D3"/>
    <w:rsid w:val="007B05C4"/>
    <w:rsid w:val="007B1E95"/>
    <w:rsid w:val="007B51A7"/>
    <w:rsid w:val="007B704F"/>
    <w:rsid w:val="007C3794"/>
    <w:rsid w:val="007C4666"/>
    <w:rsid w:val="007C704C"/>
    <w:rsid w:val="007D7235"/>
    <w:rsid w:val="007D7DE0"/>
    <w:rsid w:val="007E04CC"/>
    <w:rsid w:val="007E3754"/>
    <w:rsid w:val="007E6CA2"/>
    <w:rsid w:val="007F0D65"/>
    <w:rsid w:val="007F101E"/>
    <w:rsid w:val="007F26D1"/>
    <w:rsid w:val="007F3135"/>
    <w:rsid w:val="007F6819"/>
    <w:rsid w:val="0080368A"/>
    <w:rsid w:val="00805A22"/>
    <w:rsid w:val="008111C9"/>
    <w:rsid w:val="00812081"/>
    <w:rsid w:val="008159E0"/>
    <w:rsid w:val="00816725"/>
    <w:rsid w:val="00820BEC"/>
    <w:rsid w:val="00822EFE"/>
    <w:rsid w:val="00823455"/>
    <w:rsid w:val="00824F85"/>
    <w:rsid w:val="00826A6F"/>
    <w:rsid w:val="00826E9B"/>
    <w:rsid w:val="00830FC2"/>
    <w:rsid w:val="008350E0"/>
    <w:rsid w:val="008357DA"/>
    <w:rsid w:val="00840C48"/>
    <w:rsid w:val="00843854"/>
    <w:rsid w:val="0084519A"/>
    <w:rsid w:val="0084588B"/>
    <w:rsid w:val="00845C76"/>
    <w:rsid w:val="00847578"/>
    <w:rsid w:val="00847916"/>
    <w:rsid w:val="00856C9B"/>
    <w:rsid w:val="00865F9C"/>
    <w:rsid w:val="008702C8"/>
    <w:rsid w:val="0087032F"/>
    <w:rsid w:val="00870613"/>
    <w:rsid w:val="00870CAD"/>
    <w:rsid w:val="00872098"/>
    <w:rsid w:val="0087327C"/>
    <w:rsid w:val="008741A2"/>
    <w:rsid w:val="00876695"/>
    <w:rsid w:val="00876BB1"/>
    <w:rsid w:val="00881FD2"/>
    <w:rsid w:val="00882DCA"/>
    <w:rsid w:val="00885E2C"/>
    <w:rsid w:val="008863BD"/>
    <w:rsid w:val="00886F48"/>
    <w:rsid w:val="00892DB3"/>
    <w:rsid w:val="0089330A"/>
    <w:rsid w:val="00893A6E"/>
    <w:rsid w:val="00893F33"/>
    <w:rsid w:val="008A0258"/>
    <w:rsid w:val="008A1334"/>
    <w:rsid w:val="008A272D"/>
    <w:rsid w:val="008A53BE"/>
    <w:rsid w:val="008A6C4B"/>
    <w:rsid w:val="008A7D6C"/>
    <w:rsid w:val="008B02F9"/>
    <w:rsid w:val="008B1FA0"/>
    <w:rsid w:val="008B2510"/>
    <w:rsid w:val="008B2F27"/>
    <w:rsid w:val="008B44C7"/>
    <w:rsid w:val="008B5D89"/>
    <w:rsid w:val="008B5E14"/>
    <w:rsid w:val="008B778E"/>
    <w:rsid w:val="008B7954"/>
    <w:rsid w:val="008C3A31"/>
    <w:rsid w:val="008C66B6"/>
    <w:rsid w:val="008D34CA"/>
    <w:rsid w:val="008E17C7"/>
    <w:rsid w:val="008E1C18"/>
    <w:rsid w:val="008E3599"/>
    <w:rsid w:val="008E359E"/>
    <w:rsid w:val="008E6C37"/>
    <w:rsid w:val="008F0AAB"/>
    <w:rsid w:val="008F12C3"/>
    <w:rsid w:val="008F13F4"/>
    <w:rsid w:val="008F21BB"/>
    <w:rsid w:val="008F4495"/>
    <w:rsid w:val="008F5A5F"/>
    <w:rsid w:val="009049D5"/>
    <w:rsid w:val="009116B9"/>
    <w:rsid w:val="009132D8"/>
    <w:rsid w:val="00913A42"/>
    <w:rsid w:val="00914497"/>
    <w:rsid w:val="00915616"/>
    <w:rsid w:val="00917196"/>
    <w:rsid w:val="00917995"/>
    <w:rsid w:val="0092182A"/>
    <w:rsid w:val="009256C2"/>
    <w:rsid w:val="00926674"/>
    <w:rsid w:val="00931F59"/>
    <w:rsid w:val="009321F0"/>
    <w:rsid w:val="00932D2A"/>
    <w:rsid w:val="00933D9C"/>
    <w:rsid w:val="00933F01"/>
    <w:rsid w:val="00940268"/>
    <w:rsid w:val="00945EB7"/>
    <w:rsid w:val="00947A07"/>
    <w:rsid w:val="00947E01"/>
    <w:rsid w:val="009504AA"/>
    <w:rsid w:val="0095190F"/>
    <w:rsid w:val="009549DF"/>
    <w:rsid w:val="009557EE"/>
    <w:rsid w:val="00955C27"/>
    <w:rsid w:val="00956473"/>
    <w:rsid w:val="00956FAF"/>
    <w:rsid w:val="0095798E"/>
    <w:rsid w:val="00960550"/>
    <w:rsid w:val="00960598"/>
    <w:rsid w:val="00962930"/>
    <w:rsid w:val="00962DB3"/>
    <w:rsid w:val="00966848"/>
    <w:rsid w:val="00966CE1"/>
    <w:rsid w:val="009676BE"/>
    <w:rsid w:val="0097051B"/>
    <w:rsid w:val="009707D9"/>
    <w:rsid w:val="00972EEF"/>
    <w:rsid w:val="00974F48"/>
    <w:rsid w:val="00977FBE"/>
    <w:rsid w:val="00982905"/>
    <w:rsid w:val="0098543B"/>
    <w:rsid w:val="0099105E"/>
    <w:rsid w:val="00994E48"/>
    <w:rsid w:val="00995C95"/>
    <w:rsid w:val="009961A4"/>
    <w:rsid w:val="009A33DA"/>
    <w:rsid w:val="009A7DD1"/>
    <w:rsid w:val="009B0A47"/>
    <w:rsid w:val="009B0BCE"/>
    <w:rsid w:val="009B4100"/>
    <w:rsid w:val="009B4A21"/>
    <w:rsid w:val="009B502C"/>
    <w:rsid w:val="009B6757"/>
    <w:rsid w:val="009C3107"/>
    <w:rsid w:val="009C6FEE"/>
    <w:rsid w:val="009C74EC"/>
    <w:rsid w:val="009D188E"/>
    <w:rsid w:val="009D1DBD"/>
    <w:rsid w:val="009D1F0B"/>
    <w:rsid w:val="009D2C0E"/>
    <w:rsid w:val="009E15EA"/>
    <w:rsid w:val="009E1B85"/>
    <w:rsid w:val="009E20E0"/>
    <w:rsid w:val="009E4777"/>
    <w:rsid w:val="009E6C7D"/>
    <w:rsid w:val="009F005F"/>
    <w:rsid w:val="009F0FAA"/>
    <w:rsid w:val="009F3EF0"/>
    <w:rsid w:val="00A01AF7"/>
    <w:rsid w:val="00A02E8D"/>
    <w:rsid w:val="00A03A43"/>
    <w:rsid w:val="00A06781"/>
    <w:rsid w:val="00A10C80"/>
    <w:rsid w:val="00A10FE8"/>
    <w:rsid w:val="00A11974"/>
    <w:rsid w:val="00A12642"/>
    <w:rsid w:val="00A128A2"/>
    <w:rsid w:val="00A1566C"/>
    <w:rsid w:val="00A161BF"/>
    <w:rsid w:val="00A16E66"/>
    <w:rsid w:val="00A17986"/>
    <w:rsid w:val="00A17F69"/>
    <w:rsid w:val="00A200F4"/>
    <w:rsid w:val="00A21099"/>
    <w:rsid w:val="00A240E6"/>
    <w:rsid w:val="00A349A5"/>
    <w:rsid w:val="00A42D99"/>
    <w:rsid w:val="00A42E38"/>
    <w:rsid w:val="00A444BA"/>
    <w:rsid w:val="00A44BEB"/>
    <w:rsid w:val="00A47E48"/>
    <w:rsid w:val="00A536E8"/>
    <w:rsid w:val="00A53973"/>
    <w:rsid w:val="00A5508F"/>
    <w:rsid w:val="00A70FC0"/>
    <w:rsid w:val="00A74B00"/>
    <w:rsid w:val="00A84A50"/>
    <w:rsid w:val="00A84DBC"/>
    <w:rsid w:val="00A86907"/>
    <w:rsid w:val="00A911DB"/>
    <w:rsid w:val="00A925D2"/>
    <w:rsid w:val="00A927EE"/>
    <w:rsid w:val="00A9381B"/>
    <w:rsid w:val="00A9671C"/>
    <w:rsid w:val="00AA29B2"/>
    <w:rsid w:val="00AA62F0"/>
    <w:rsid w:val="00AB4135"/>
    <w:rsid w:val="00AB44C9"/>
    <w:rsid w:val="00AC50D1"/>
    <w:rsid w:val="00AC70E5"/>
    <w:rsid w:val="00AD193A"/>
    <w:rsid w:val="00AD3A57"/>
    <w:rsid w:val="00AD736E"/>
    <w:rsid w:val="00AE0117"/>
    <w:rsid w:val="00AE03CD"/>
    <w:rsid w:val="00AE164A"/>
    <w:rsid w:val="00AF1638"/>
    <w:rsid w:val="00AF2252"/>
    <w:rsid w:val="00AF559C"/>
    <w:rsid w:val="00AF5EE5"/>
    <w:rsid w:val="00AF62D8"/>
    <w:rsid w:val="00B07924"/>
    <w:rsid w:val="00B138FD"/>
    <w:rsid w:val="00B219B3"/>
    <w:rsid w:val="00B21EB8"/>
    <w:rsid w:val="00B23260"/>
    <w:rsid w:val="00B271D0"/>
    <w:rsid w:val="00B279FC"/>
    <w:rsid w:val="00B3434E"/>
    <w:rsid w:val="00B40E9B"/>
    <w:rsid w:val="00B4180C"/>
    <w:rsid w:val="00B41F5C"/>
    <w:rsid w:val="00B434FF"/>
    <w:rsid w:val="00B436B9"/>
    <w:rsid w:val="00B446BF"/>
    <w:rsid w:val="00B45F58"/>
    <w:rsid w:val="00B47375"/>
    <w:rsid w:val="00B521A0"/>
    <w:rsid w:val="00B5365F"/>
    <w:rsid w:val="00B65BE7"/>
    <w:rsid w:val="00B7179F"/>
    <w:rsid w:val="00B8097B"/>
    <w:rsid w:val="00B80EF4"/>
    <w:rsid w:val="00B822CD"/>
    <w:rsid w:val="00B82D61"/>
    <w:rsid w:val="00B84FFE"/>
    <w:rsid w:val="00B87660"/>
    <w:rsid w:val="00B876CA"/>
    <w:rsid w:val="00B91CA9"/>
    <w:rsid w:val="00B93379"/>
    <w:rsid w:val="00B97CBD"/>
    <w:rsid w:val="00BA00D0"/>
    <w:rsid w:val="00BA177D"/>
    <w:rsid w:val="00BA6441"/>
    <w:rsid w:val="00BA7B59"/>
    <w:rsid w:val="00BB0077"/>
    <w:rsid w:val="00BB1CEA"/>
    <w:rsid w:val="00BB625C"/>
    <w:rsid w:val="00BB7584"/>
    <w:rsid w:val="00BB7DD5"/>
    <w:rsid w:val="00BC034C"/>
    <w:rsid w:val="00BC1ED7"/>
    <w:rsid w:val="00BC7446"/>
    <w:rsid w:val="00BC79EC"/>
    <w:rsid w:val="00BD0EA0"/>
    <w:rsid w:val="00BD12F0"/>
    <w:rsid w:val="00BD140F"/>
    <w:rsid w:val="00BD3D12"/>
    <w:rsid w:val="00BD6818"/>
    <w:rsid w:val="00BE07C1"/>
    <w:rsid w:val="00BE3974"/>
    <w:rsid w:val="00BE43DF"/>
    <w:rsid w:val="00BE7E62"/>
    <w:rsid w:val="00BF0D53"/>
    <w:rsid w:val="00BF1AB3"/>
    <w:rsid w:val="00BF34BE"/>
    <w:rsid w:val="00BF4D71"/>
    <w:rsid w:val="00BF5CC4"/>
    <w:rsid w:val="00BF6D77"/>
    <w:rsid w:val="00BF7B18"/>
    <w:rsid w:val="00BF7B27"/>
    <w:rsid w:val="00C01975"/>
    <w:rsid w:val="00C04CD7"/>
    <w:rsid w:val="00C05894"/>
    <w:rsid w:val="00C05AA3"/>
    <w:rsid w:val="00C063DD"/>
    <w:rsid w:val="00C07EFB"/>
    <w:rsid w:val="00C106B5"/>
    <w:rsid w:val="00C12B64"/>
    <w:rsid w:val="00C13F6C"/>
    <w:rsid w:val="00C17F78"/>
    <w:rsid w:val="00C254AA"/>
    <w:rsid w:val="00C25D00"/>
    <w:rsid w:val="00C2626D"/>
    <w:rsid w:val="00C27047"/>
    <w:rsid w:val="00C30538"/>
    <w:rsid w:val="00C309F4"/>
    <w:rsid w:val="00C30FF2"/>
    <w:rsid w:val="00C42229"/>
    <w:rsid w:val="00C42F88"/>
    <w:rsid w:val="00C438E6"/>
    <w:rsid w:val="00C44A28"/>
    <w:rsid w:val="00C45894"/>
    <w:rsid w:val="00C50F1A"/>
    <w:rsid w:val="00C51892"/>
    <w:rsid w:val="00C540A8"/>
    <w:rsid w:val="00C56922"/>
    <w:rsid w:val="00C57328"/>
    <w:rsid w:val="00C60FBB"/>
    <w:rsid w:val="00C66192"/>
    <w:rsid w:val="00C67587"/>
    <w:rsid w:val="00C7168D"/>
    <w:rsid w:val="00C77D08"/>
    <w:rsid w:val="00C81CC8"/>
    <w:rsid w:val="00C82244"/>
    <w:rsid w:val="00C85391"/>
    <w:rsid w:val="00C8612D"/>
    <w:rsid w:val="00C86BF9"/>
    <w:rsid w:val="00C938AD"/>
    <w:rsid w:val="00C9595D"/>
    <w:rsid w:val="00CA2AA5"/>
    <w:rsid w:val="00CA36CA"/>
    <w:rsid w:val="00CA3E76"/>
    <w:rsid w:val="00CA444B"/>
    <w:rsid w:val="00CA48FD"/>
    <w:rsid w:val="00CA4F64"/>
    <w:rsid w:val="00CB1264"/>
    <w:rsid w:val="00CB2627"/>
    <w:rsid w:val="00CB51B2"/>
    <w:rsid w:val="00CB533C"/>
    <w:rsid w:val="00CC1285"/>
    <w:rsid w:val="00CC14D4"/>
    <w:rsid w:val="00CD325D"/>
    <w:rsid w:val="00CD347D"/>
    <w:rsid w:val="00CD35FC"/>
    <w:rsid w:val="00CD5005"/>
    <w:rsid w:val="00CD5DBF"/>
    <w:rsid w:val="00CE1E03"/>
    <w:rsid w:val="00CE7069"/>
    <w:rsid w:val="00CF2848"/>
    <w:rsid w:val="00CF503C"/>
    <w:rsid w:val="00CF5AEE"/>
    <w:rsid w:val="00D01629"/>
    <w:rsid w:val="00D02B58"/>
    <w:rsid w:val="00D05520"/>
    <w:rsid w:val="00D07930"/>
    <w:rsid w:val="00D17773"/>
    <w:rsid w:val="00D2018C"/>
    <w:rsid w:val="00D2038F"/>
    <w:rsid w:val="00D21564"/>
    <w:rsid w:val="00D216C0"/>
    <w:rsid w:val="00D221B0"/>
    <w:rsid w:val="00D231B1"/>
    <w:rsid w:val="00D2366D"/>
    <w:rsid w:val="00D242EF"/>
    <w:rsid w:val="00D25681"/>
    <w:rsid w:val="00D25CD7"/>
    <w:rsid w:val="00D25DA0"/>
    <w:rsid w:val="00D2798C"/>
    <w:rsid w:val="00D30AC0"/>
    <w:rsid w:val="00D32ABC"/>
    <w:rsid w:val="00D3344C"/>
    <w:rsid w:val="00D366E6"/>
    <w:rsid w:val="00D375A2"/>
    <w:rsid w:val="00D40AA6"/>
    <w:rsid w:val="00D4127E"/>
    <w:rsid w:val="00D45387"/>
    <w:rsid w:val="00D52225"/>
    <w:rsid w:val="00D52773"/>
    <w:rsid w:val="00D52BF9"/>
    <w:rsid w:val="00D54C07"/>
    <w:rsid w:val="00D55A9A"/>
    <w:rsid w:val="00D61597"/>
    <w:rsid w:val="00D63CC0"/>
    <w:rsid w:val="00D6487C"/>
    <w:rsid w:val="00D65689"/>
    <w:rsid w:val="00D73491"/>
    <w:rsid w:val="00D74848"/>
    <w:rsid w:val="00D7599F"/>
    <w:rsid w:val="00D83B14"/>
    <w:rsid w:val="00D83BE6"/>
    <w:rsid w:val="00D86B36"/>
    <w:rsid w:val="00D87B24"/>
    <w:rsid w:val="00D962D0"/>
    <w:rsid w:val="00D97F46"/>
    <w:rsid w:val="00DA0BDD"/>
    <w:rsid w:val="00DA1246"/>
    <w:rsid w:val="00DA1674"/>
    <w:rsid w:val="00DA28D6"/>
    <w:rsid w:val="00DA46BF"/>
    <w:rsid w:val="00DA543E"/>
    <w:rsid w:val="00DA5E99"/>
    <w:rsid w:val="00DA79E5"/>
    <w:rsid w:val="00DB1FA2"/>
    <w:rsid w:val="00DB6744"/>
    <w:rsid w:val="00DC4474"/>
    <w:rsid w:val="00DC5C21"/>
    <w:rsid w:val="00DC6968"/>
    <w:rsid w:val="00DD3EDB"/>
    <w:rsid w:val="00DD5A65"/>
    <w:rsid w:val="00DD7125"/>
    <w:rsid w:val="00DE130D"/>
    <w:rsid w:val="00DE1BD9"/>
    <w:rsid w:val="00DF1E59"/>
    <w:rsid w:val="00DF2843"/>
    <w:rsid w:val="00DF2D3E"/>
    <w:rsid w:val="00DF703C"/>
    <w:rsid w:val="00E030C2"/>
    <w:rsid w:val="00E059F7"/>
    <w:rsid w:val="00E06284"/>
    <w:rsid w:val="00E100A8"/>
    <w:rsid w:val="00E1019C"/>
    <w:rsid w:val="00E14586"/>
    <w:rsid w:val="00E212F8"/>
    <w:rsid w:val="00E213C1"/>
    <w:rsid w:val="00E2357E"/>
    <w:rsid w:val="00E236D6"/>
    <w:rsid w:val="00E23A0C"/>
    <w:rsid w:val="00E24191"/>
    <w:rsid w:val="00E26EAF"/>
    <w:rsid w:val="00E26F5A"/>
    <w:rsid w:val="00E278D0"/>
    <w:rsid w:val="00E328DC"/>
    <w:rsid w:val="00E32997"/>
    <w:rsid w:val="00E34000"/>
    <w:rsid w:val="00E34E53"/>
    <w:rsid w:val="00E3735E"/>
    <w:rsid w:val="00E455DF"/>
    <w:rsid w:val="00E45A4F"/>
    <w:rsid w:val="00E5072E"/>
    <w:rsid w:val="00E56213"/>
    <w:rsid w:val="00E7261E"/>
    <w:rsid w:val="00E72DFD"/>
    <w:rsid w:val="00E745C3"/>
    <w:rsid w:val="00E7657A"/>
    <w:rsid w:val="00E8111F"/>
    <w:rsid w:val="00E86F18"/>
    <w:rsid w:val="00E93429"/>
    <w:rsid w:val="00E93666"/>
    <w:rsid w:val="00E969E8"/>
    <w:rsid w:val="00E9712A"/>
    <w:rsid w:val="00E97B4D"/>
    <w:rsid w:val="00EA0412"/>
    <w:rsid w:val="00EA2B33"/>
    <w:rsid w:val="00EA6313"/>
    <w:rsid w:val="00EC0D34"/>
    <w:rsid w:val="00EC13D7"/>
    <w:rsid w:val="00EC15F6"/>
    <w:rsid w:val="00EC6191"/>
    <w:rsid w:val="00EC7E14"/>
    <w:rsid w:val="00ED055B"/>
    <w:rsid w:val="00ED1FF2"/>
    <w:rsid w:val="00ED5D27"/>
    <w:rsid w:val="00ED7B87"/>
    <w:rsid w:val="00ED7B9F"/>
    <w:rsid w:val="00EE5D39"/>
    <w:rsid w:val="00EE68B6"/>
    <w:rsid w:val="00EF110D"/>
    <w:rsid w:val="00EF259A"/>
    <w:rsid w:val="00EF51FD"/>
    <w:rsid w:val="00EF78B7"/>
    <w:rsid w:val="00F06002"/>
    <w:rsid w:val="00F06447"/>
    <w:rsid w:val="00F119B6"/>
    <w:rsid w:val="00F132D6"/>
    <w:rsid w:val="00F14AA8"/>
    <w:rsid w:val="00F1615D"/>
    <w:rsid w:val="00F220E2"/>
    <w:rsid w:val="00F30B6F"/>
    <w:rsid w:val="00F32FA5"/>
    <w:rsid w:val="00F344F3"/>
    <w:rsid w:val="00F3491F"/>
    <w:rsid w:val="00F42EE4"/>
    <w:rsid w:val="00F44FDC"/>
    <w:rsid w:val="00F45A49"/>
    <w:rsid w:val="00F532F9"/>
    <w:rsid w:val="00F64679"/>
    <w:rsid w:val="00F703E5"/>
    <w:rsid w:val="00F731B3"/>
    <w:rsid w:val="00F8232F"/>
    <w:rsid w:val="00F84F76"/>
    <w:rsid w:val="00F8725D"/>
    <w:rsid w:val="00F9187E"/>
    <w:rsid w:val="00F92125"/>
    <w:rsid w:val="00F926DB"/>
    <w:rsid w:val="00F9465F"/>
    <w:rsid w:val="00FA346D"/>
    <w:rsid w:val="00FA5217"/>
    <w:rsid w:val="00FA6469"/>
    <w:rsid w:val="00FA6B97"/>
    <w:rsid w:val="00FB2CDB"/>
    <w:rsid w:val="00FB391B"/>
    <w:rsid w:val="00FC0CAC"/>
    <w:rsid w:val="00FC2D52"/>
    <w:rsid w:val="00FC3C85"/>
    <w:rsid w:val="00FC6B46"/>
    <w:rsid w:val="00FC7E87"/>
    <w:rsid w:val="00FC7EF6"/>
    <w:rsid w:val="00FD02A2"/>
    <w:rsid w:val="00FD27CF"/>
    <w:rsid w:val="00FD4528"/>
    <w:rsid w:val="00FD4662"/>
    <w:rsid w:val="00FD6645"/>
    <w:rsid w:val="00FD76C1"/>
    <w:rsid w:val="00FD7CA7"/>
    <w:rsid w:val="00FE2269"/>
    <w:rsid w:val="00FE2746"/>
    <w:rsid w:val="00FE5E2A"/>
    <w:rsid w:val="00FE736F"/>
    <w:rsid w:val="00FF490E"/>
    <w:rsid w:val="00FF4AF9"/>
    <w:rsid w:val="00FF51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ECC79"/>
  <w15:chartTrackingRefBased/>
  <w15:docId w15:val="{9A587D32-7239-4D29-BFB5-7633CD92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2"/>
    <w:lsdException w:name="heading 2" w:semiHidden="1" w:uiPriority="2" w:unhideWhenUsed="1"/>
    <w:lsdException w:name="heading 3" w:semiHidden="1" w:uiPriority="2" w:unhideWhenUsed="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4" w:unhideWhenUsed="1"/>
    <w:lsdException w:name="footer" w:semiHidden="1" w:uiPriority="4"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semiHidden="1"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4"/>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BD0"/>
    <w:pPr>
      <w:jc w:val="both"/>
    </w:pPr>
    <w:rPr>
      <w:rFonts w:ascii="Arial" w:hAnsi="Arial" w:cstheme="minorBidi"/>
      <w:lang w:eastAsia="en-US"/>
    </w:rPr>
  </w:style>
  <w:style w:type="paragraph" w:styleId="Heading1">
    <w:name w:val="heading 1"/>
    <w:basedOn w:val="Normal"/>
    <w:link w:val="Heading1Char"/>
    <w:uiPriority w:val="2"/>
    <w:semiHidden/>
    <w:rsid w:val="001C1BD0"/>
    <w:pPr>
      <w:keepNext/>
      <w:spacing w:after="240"/>
      <w:outlineLvl w:val="0"/>
    </w:pPr>
    <w:rPr>
      <w:rFonts w:eastAsiaTheme="majorEastAsia" w:cstheme="majorBidi"/>
      <w:b/>
      <w:caps/>
      <w:szCs w:val="32"/>
    </w:rPr>
  </w:style>
  <w:style w:type="paragraph" w:styleId="Heading2">
    <w:name w:val="heading 2"/>
    <w:basedOn w:val="Normal"/>
    <w:link w:val="Heading2Char"/>
    <w:uiPriority w:val="2"/>
    <w:semiHidden/>
    <w:rsid w:val="001C1BD0"/>
    <w:pPr>
      <w:spacing w:after="240"/>
      <w:outlineLvl w:val="1"/>
    </w:pPr>
    <w:rPr>
      <w:b/>
      <w:szCs w:val="26"/>
    </w:rPr>
  </w:style>
  <w:style w:type="paragraph" w:styleId="Heading3">
    <w:name w:val="heading 3"/>
    <w:basedOn w:val="Normal"/>
    <w:next w:val="Level3"/>
    <w:link w:val="Heading3Char"/>
    <w:uiPriority w:val="2"/>
    <w:semiHidden/>
    <w:rsid w:val="001C1BD0"/>
    <w:pPr>
      <w:spacing w:after="240"/>
      <w:outlineLvl w:val="2"/>
    </w:pPr>
    <w:rPr>
      <w:b/>
      <w:szCs w:val="24"/>
    </w:rPr>
  </w:style>
  <w:style w:type="paragraph" w:styleId="Heading4">
    <w:name w:val="heading 4"/>
    <w:basedOn w:val="Normal"/>
    <w:next w:val="BodyText"/>
    <w:link w:val="Heading4Char"/>
    <w:semiHidden/>
    <w:rsid w:val="001C1BD0"/>
    <w:pPr>
      <w:keepNext/>
      <w:keepLines/>
      <w:spacing w:after="240"/>
      <w:outlineLvl w:val="3"/>
    </w:pPr>
    <w:rPr>
      <w:rFonts w:eastAsiaTheme="majorEastAsia" w:cstheme="majorBidi"/>
      <w:iCs/>
    </w:rPr>
  </w:style>
  <w:style w:type="paragraph" w:styleId="Heading5">
    <w:name w:val="heading 5"/>
    <w:basedOn w:val="Normal"/>
    <w:next w:val="BodyText"/>
    <w:link w:val="Heading5Char"/>
    <w:semiHidden/>
    <w:rsid w:val="001C1BD0"/>
    <w:pPr>
      <w:keepNext/>
      <w:keepLines/>
      <w:spacing w:after="240"/>
      <w:outlineLvl w:val="4"/>
    </w:pPr>
    <w:rPr>
      <w:rFonts w:eastAsiaTheme="majorEastAsia" w:cstheme="majorBidi"/>
    </w:rPr>
  </w:style>
  <w:style w:type="paragraph" w:styleId="Heading6">
    <w:name w:val="heading 6"/>
    <w:basedOn w:val="Normal"/>
    <w:next w:val="BodyText"/>
    <w:link w:val="Heading6Char"/>
    <w:semiHidden/>
    <w:rsid w:val="001C1BD0"/>
    <w:pPr>
      <w:keepNext/>
      <w:keepLines/>
      <w:spacing w:after="240"/>
      <w:outlineLvl w:val="5"/>
    </w:pPr>
    <w:rPr>
      <w:rFonts w:eastAsiaTheme="majorEastAsia" w:cstheme="majorBidi"/>
    </w:rPr>
  </w:style>
  <w:style w:type="paragraph" w:styleId="Heading7">
    <w:name w:val="heading 7"/>
    <w:basedOn w:val="Normal"/>
    <w:next w:val="BodyText"/>
    <w:link w:val="Heading7Char"/>
    <w:semiHidden/>
    <w:rsid w:val="001C1BD0"/>
    <w:pPr>
      <w:keepNext/>
      <w:keepLines/>
      <w:spacing w:after="240"/>
      <w:outlineLvl w:val="6"/>
    </w:pPr>
    <w:rPr>
      <w:rFonts w:eastAsiaTheme="majorEastAsia" w:cstheme="majorBidi"/>
      <w:iCs/>
    </w:rPr>
  </w:style>
  <w:style w:type="paragraph" w:styleId="Heading8">
    <w:name w:val="heading 8"/>
    <w:basedOn w:val="Normal"/>
    <w:next w:val="BodyText"/>
    <w:link w:val="Heading8Char"/>
    <w:semiHidden/>
    <w:rsid w:val="001C1BD0"/>
    <w:pPr>
      <w:keepNext/>
      <w:keepLines/>
      <w:spacing w:after="240"/>
      <w:outlineLvl w:val="7"/>
    </w:pPr>
    <w:rPr>
      <w:rFonts w:eastAsiaTheme="majorEastAsia" w:cstheme="majorBidi"/>
      <w:color w:val="272727" w:themeColor="text1" w:themeTint="D8"/>
      <w:szCs w:val="21"/>
    </w:rPr>
  </w:style>
  <w:style w:type="paragraph" w:styleId="Heading9">
    <w:name w:val="heading 9"/>
    <w:basedOn w:val="Normal"/>
    <w:next w:val="BodyText"/>
    <w:link w:val="Heading9Char"/>
    <w:semiHidden/>
    <w:rsid w:val="001C1BD0"/>
    <w:pPr>
      <w:keepNext/>
      <w:keepLines/>
      <w:spacing w:after="2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C1BD0"/>
    <w:rPr>
      <w:sz w:val="16"/>
    </w:rPr>
  </w:style>
  <w:style w:type="character" w:customStyle="1" w:styleId="FootnoteTextChar">
    <w:name w:val="Footnote Text Char"/>
    <w:basedOn w:val="DefaultParagraphFont"/>
    <w:link w:val="FootnoteText"/>
    <w:uiPriority w:val="99"/>
    <w:semiHidden/>
    <w:rsid w:val="001C1BD0"/>
    <w:rPr>
      <w:rFonts w:ascii="Arial" w:eastAsiaTheme="minorHAnsi" w:hAnsi="Arial" w:cstheme="minorBidi"/>
      <w:sz w:val="16"/>
      <w:lang w:eastAsia="en-US"/>
    </w:rPr>
  </w:style>
  <w:style w:type="paragraph" w:styleId="Header">
    <w:name w:val="header"/>
    <w:basedOn w:val="Normal"/>
    <w:link w:val="HeaderChar"/>
    <w:uiPriority w:val="4"/>
    <w:rsid w:val="001C1BD0"/>
    <w:rPr>
      <w:sz w:val="16"/>
    </w:rPr>
  </w:style>
  <w:style w:type="character" w:customStyle="1" w:styleId="HeaderChar">
    <w:name w:val="Header Char"/>
    <w:basedOn w:val="DefaultParagraphFont"/>
    <w:link w:val="Header"/>
    <w:uiPriority w:val="4"/>
    <w:rsid w:val="001C1BD0"/>
    <w:rPr>
      <w:rFonts w:ascii="Arial" w:eastAsiaTheme="minorHAnsi" w:hAnsi="Arial" w:cstheme="minorBidi"/>
      <w:sz w:val="16"/>
      <w:lang w:eastAsia="en-US"/>
    </w:rPr>
  </w:style>
  <w:style w:type="paragraph" w:styleId="Footer">
    <w:name w:val="footer"/>
    <w:basedOn w:val="Normal"/>
    <w:link w:val="FooterChar"/>
    <w:uiPriority w:val="4"/>
    <w:qFormat/>
    <w:rsid w:val="001C1BD0"/>
    <w:pPr>
      <w:tabs>
        <w:tab w:val="center" w:pos="4820"/>
        <w:tab w:val="right" w:pos="9639"/>
      </w:tabs>
      <w:jc w:val="left"/>
    </w:pPr>
    <w:rPr>
      <w:sz w:val="16"/>
    </w:rPr>
  </w:style>
  <w:style w:type="character" w:customStyle="1" w:styleId="FooterChar">
    <w:name w:val="Footer Char"/>
    <w:basedOn w:val="DefaultParagraphFont"/>
    <w:link w:val="Footer"/>
    <w:uiPriority w:val="4"/>
    <w:rsid w:val="001C1BD0"/>
    <w:rPr>
      <w:rFonts w:ascii="Arial" w:eastAsiaTheme="minorHAnsi" w:hAnsi="Arial" w:cstheme="minorBidi"/>
      <w:sz w:val="16"/>
      <w:lang w:eastAsia="en-US"/>
    </w:rPr>
  </w:style>
  <w:style w:type="character" w:styleId="PageNumber">
    <w:name w:val="page number"/>
    <w:basedOn w:val="DefaultParagraphFont"/>
    <w:uiPriority w:val="99"/>
    <w:semiHidden/>
    <w:rsid w:val="001C1BD0"/>
    <w:rPr>
      <w:rFonts w:cs="Times New Roman"/>
    </w:rPr>
  </w:style>
  <w:style w:type="paragraph" w:styleId="CommentText">
    <w:name w:val="annotation text"/>
    <w:basedOn w:val="Normal"/>
    <w:link w:val="CommentTextChar"/>
    <w:uiPriority w:val="99"/>
    <w:semiHidden/>
    <w:unhideWhenUsed/>
    <w:rsid w:val="001C1BD0"/>
  </w:style>
  <w:style w:type="character" w:customStyle="1" w:styleId="CommentTextChar">
    <w:name w:val="Comment Text Char"/>
    <w:basedOn w:val="DefaultParagraphFont"/>
    <w:link w:val="CommentText"/>
    <w:uiPriority w:val="99"/>
    <w:semiHidden/>
    <w:rsid w:val="001C1BD0"/>
    <w:rPr>
      <w:rFonts w:ascii="Arial" w:eastAsiaTheme="minorHAnsi" w:hAnsi="Arial" w:cstheme="minorBidi"/>
      <w:lang w:eastAsia="en-US"/>
    </w:rPr>
  </w:style>
  <w:style w:type="paragraph" w:styleId="EndnoteText">
    <w:name w:val="endnote text"/>
    <w:basedOn w:val="Normal"/>
    <w:link w:val="EndnoteTextChar"/>
    <w:uiPriority w:val="99"/>
    <w:semiHidden/>
    <w:rsid w:val="001C1BD0"/>
    <w:rPr>
      <w:sz w:val="16"/>
    </w:rPr>
  </w:style>
  <w:style w:type="character" w:customStyle="1" w:styleId="EndnoteTextChar">
    <w:name w:val="Endnote Text Char"/>
    <w:basedOn w:val="DefaultParagraphFont"/>
    <w:link w:val="EndnoteText"/>
    <w:uiPriority w:val="99"/>
    <w:semiHidden/>
    <w:rsid w:val="001C1BD0"/>
    <w:rPr>
      <w:rFonts w:ascii="Arial" w:eastAsiaTheme="minorHAnsi" w:hAnsi="Arial" w:cstheme="minorBidi"/>
      <w:sz w:val="16"/>
      <w:lang w:eastAsia="en-US"/>
    </w:rPr>
  </w:style>
  <w:style w:type="character" w:styleId="EndnoteReference">
    <w:name w:val="endnote reference"/>
    <w:uiPriority w:val="99"/>
    <w:semiHidden/>
    <w:rsid w:val="001C1BD0"/>
    <w:rPr>
      <w:vertAlign w:val="superscript"/>
    </w:rPr>
  </w:style>
  <w:style w:type="character" w:styleId="FootnoteReference">
    <w:name w:val="footnote reference"/>
    <w:uiPriority w:val="99"/>
    <w:semiHidden/>
    <w:rsid w:val="001C1BD0"/>
    <w:rPr>
      <w:vertAlign w:val="superscript"/>
    </w:rPr>
  </w:style>
  <w:style w:type="paragraph" w:styleId="TOC1">
    <w:name w:val="toc 1"/>
    <w:basedOn w:val="Normal"/>
    <w:next w:val="Normal"/>
    <w:uiPriority w:val="39"/>
    <w:qFormat/>
    <w:rsid w:val="001C1BD0"/>
    <w:pPr>
      <w:spacing w:after="240"/>
      <w:ind w:left="850" w:right="567" w:hanging="850"/>
    </w:pPr>
    <w:rPr>
      <w:caps/>
    </w:rPr>
  </w:style>
  <w:style w:type="paragraph" w:styleId="TOC2">
    <w:name w:val="toc 2"/>
    <w:basedOn w:val="TOC1"/>
    <w:next w:val="Normal"/>
    <w:uiPriority w:val="39"/>
    <w:qFormat/>
    <w:rsid w:val="001C1BD0"/>
    <w:pPr>
      <w:ind w:left="1702"/>
    </w:pPr>
    <w:rPr>
      <w:caps w:val="0"/>
    </w:rPr>
  </w:style>
  <w:style w:type="paragraph" w:styleId="TOC3">
    <w:name w:val="toc 3"/>
    <w:basedOn w:val="TOC1"/>
    <w:next w:val="Normal"/>
    <w:uiPriority w:val="39"/>
    <w:qFormat/>
    <w:rsid w:val="001C1BD0"/>
    <w:pPr>
      <w:ind w:left="2552"/>
    </w:pPr>
    <w:rPr>
      <w:caps w:val="0"/>
    </w:rPr>
  </w:style>
  <w:style w:type="paragraph" w:styleId="TOC4">
    <w:name w:val="toc 4"/>
    <w:basedOn w:val="TOC1"/>
    <w:next w:val="Normal"/>
    <w:uiPriority w:val="39"/>
    <w:semiHidden/>
    <w:qFormat/>
    <w:rsid w:val="001C1BD0"/>
    <w:pPr>
      <w:ind w:left="0" w:firstLine="0"/>
    </w:pPr>
  </w:style>
  <w:style w:type="paragraph" w:styleId="TOC5">
    <w:name w:val="toc 5"/>
    <w:basedOn w:val="TOC1"/>
    <w:next w:val="Normal"/>
    <w:uiPriority w:val="39"/>
    <w:semiHidden/>
    <w:qFormat/>
    <w:rsid w:val="001C1BD0"/>
    <w:pPr>
      <w:ind w:firstLine="0"/>
    </w:pPr>
  </w:style>
  <w:style w:type="paragraph" w:styleId="TOC6">
    <w:name w:val="toc 6"/>
    <w:basedOn w:val="TOC1"/>
    <w:next w:val="Normal"/>
    <w:uiPriority w:val="39"/>
    <w:semiHidden/>
    <w:qFormat/>
    <w:rsid w:val="001C1BD0"/>
    <w:pPr>
      <w:ind w:left="1701" w:firstLine="0"/>
    </w:pPr>
  </w:style>
  <w:style w:type="paragraph" w:customStyle="1" w:styleId="Body">
    <w:name w:val="Body"/>
    <w:basedOn w:val="Normal"/>
    <w:link w:val="BodyChar"/>
    <w:qFormat/>
    <w:rsid w:val="001C1BD0"/>
    <w:pPr>
      <w:spacing w:after="240"/>
    </w:pPr>
  </w:style>
  <w:style w:type="paragraph" w:customStyle="1" w:styleId="LegalDisclaimer">
    <w:name w:val="Legal Disclaimer"/>
    <w:basedOn w:val="Footer"/>
    <w:link w:val="LegalDisclaimerChar"/>
    <w:semiHidden/>
    <w:qFormat/>
    <w:rsid w:val="001C1BD0"/>
    <w:pPr>
      <w:spacing w:after="240"/>
      <w:jc w:val="center"/>
    </w:pPr>
    <w:rPr>
      <w:sz w:val="12"/>
    </w:rPr>
  </w:style>
  <w:style w:type="character" w:customStyle="1" w:styleId="LegalDisclaimerChar">
    <w:name w:val="Legal Disclaimer Char"/>
    <w:basedOn w:val="FooterChar"/>
    <w:link w:val="LegalDisclaimer"/>
    <w:semiHidden/>
    <w:rsid w:val="001C1BD0"/>
    <w:rPr>
      <w:rFonts w:ascii="Arial" w:eastAsiaTheme="minorHAnsi" w:hAnsi="Arial" w:cstheme="minorBidi"/>
      <w:sz w:val="12"/>
      <w:lang w:eastAsia="en-US"/>
    </w:rPr>
  </w:style>
  <w:style w:type="character" w:styleId="PlaceholderText">
    <w:name w:val="Placeholder Text"/>
    <w:basedOn w:val="DefaultParagraphFont"/>
    <w:uiPriority w:val="99"/>
    <w:semiHidden/>
    <w:rsid w:val="001C1BD0"/>
    <w:rPr>
      <w:color w:val="808080"/>
    </w:rPr>
  </w:style>
  <w:style w:type="paragraph" w:customStyle="1" w:styleId="Letterheaduserprofile">
    <w:name w:val="Letterhead userprofile"/>
    <w:basedOn w:val="Normal"/>
    <w:semiHidden/>
    <w:qFormat/>
    <w:rsid w:val="001C1BD0"/>
    <w:pPr>
      <w:jc w:val="right"/>
    </w:pPr>
    <w:rPr>
      <w:sz w:val="16"/>
      <w:szCs w:val="16"/>
    </w:rPr>
  </w:style>
  <w:style w:type="character" w:customStyle="1" w:styleId="Heading1Char">
    <w:name w:val="Heading 1 Char"/>
    <w:basedOn w:val="DefaultParagraphFont"/>
    <w:link w:val="Heading1"/>
    <w:uiPriority w:val="2"/>
    <w:semiHidden/>
    <w:rsid w:val="001C1BD0"/>
    <w:rPr>
      <w:rFonts w:ascii="Arial" w:eastAsiaTheme="majorEastAsia" w:hAnsi="Arial" w:cstheme="majorBidi"/>
      <w:b/>
      <w:caps/>
      <w:szCs w:val="32"/>
      <w:lang w:eastAsia="en-US"/>
    </w:rPr>
  </w:style>
  <w:style w:type="character" w:customStyle="1" w:styleId="Heading2Char">
    <w:name w:val="Heading 2 Char"/>
    <w:basedOn w:val="DefaultParagraphFont"/>
    <w:link w:val="Heading2"/>
    <w:uiPriority w:val="2"/>
    <w:semiHidden/>
    <w:rsid w:val="001C1BD0"/>
    <w:rPr>
      <w:rFonts w:ascii="Arial" w:eastAsiaTheme="minorHAnsi" w:hAnsi="Arial" w:cstheme="minorBidi"/>
      <w:b/>
      <w:szCs w:val="26"/>
      <w:lang w:eastAsia="en-US"/>
    </w:rPr>
  </w:style>
  <w:style w:type="character" w:customStyle="1" w:styleId="Heading3Char">
    <w:name w:val="Heading 3 Char"/>
    <w:basedOn w:val="DefaultParagraphFont"/>
    <w:link w:val="Heading3"/>
    <w:uiPriority w:val="2"/>
    <w:semiHidden/>
    <w:rsid w:val="001C1BD0"/>
    <w:rPr>
      <w:rFonts w:ascii="Arial" w:eastAsiaTheme="minorHAnsi" w:hAnsi="Arial" w:cstheme="minorBidi"/>
      <w:b/>
      <w:szCs w:val="24"/>
      <w:lang w:eastAsia="en-US"/>
    </w:rPr>
  </w:style>
  <w:style w:type="table" w:styleId="TableGrid">
    <w:name w:val="Table Grid"/>
    <w:basedOn w:val="TableNormal"/>
    <w:rsid w:val="001C1B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bTitle">
    <w:name w:val="JobTitle"/>
    <w:basedOn w:val="DefaultParagraphFont"/>
    <w:uiPriority w:val="1"/>
    <w:semiHidden/>
    <w:qFormat/>
    <w:rsid w:val="001C1BD0"/>
  </w:style>
  <w:style w:type="table" w:styleId="GridTable4-Accent2">
    <w:name w:val="Grid Table 4 Accent 2"/>
    <w:basedOn w:val="TableNormal"/>
    <w:uiPriority w:val="49"/>
    <w:rsid w:val="006811F5"/>
    <w:tblPr>
      <w:tblStyleRowBandSize w:val="1"/>
      <w:tblStyleColBandSize w:val="1"/>
      <w:tblBorders>
        <w:top w:val="single" w:sz="4" w:space="0" w:color="4DCAFF" w:themeColor="accent2" w:themeTint="99"/>
        <w:left w:val="single" w:sz="4" w:space="0" w:color="4DCAFF" w:themeColor="accent2" w:themeTint="99"/>
        <w:bottom w:val="single" w:sz="4" w:space="0" w:color="4DCAFF" w:themeColor="accent2" w:themeTint="99"/>
        <w:right w:val="single" w:sz="4" w:space="0" w:color="4DCAFF" w:themeColor="accent2" w:themeTint="99"/>
        <w:insideH w:val="single" w:sz="4" w:space="0" w:color="4DCAFF" w:themeColor="accent2" w:themeTint="99"/>
        <w:insideV w:val="single" w:sz="4" w:space="0" w:color="4DCAFF" w:themeColor="accent2" w:themeTint="99"/>
      </w:tblBorders>
    </w:tblPr>
    <w:tblStylePr w:type="firstRow">
      <w:rPr>
        <w:b/>
        <w:bCs/>
        <w:color w:val="FFFFFF" w:themeColor="background1"/>
      </w:rPr>
      <w:tblPr/>
      <w:tcPr>
        <w:tcBorders>
          <w:top w:val="single" w:sz="4" w:space="0" w:color="0097D6" w:themeColor="accent2"/>
          <w:left w:val="single" w:sz="4" w:space="0" w:color="0097D6" w:themeColor="accent2"/>
          <w:bottom w:val="single" w:sz="4" w:space="0" w:color="0097D6" w:themeColor="accent2"/>
          <w:right w:val="single" w:sz="4" w:space="0" w:color="0097D6" w:themeColor="accent2"/>
          <w:insideH w:val="nil"/>
          <w:insideV w:val="nil"/>
        </w:tcBorders>
        <w:shd w:val="clear" w:color="auto" w:fill="0097D6" w:themeFill="accent2"/>
      </w:tcPr>
    </w:tblStylePr>
    <w:tblStylePr w:type="lastRow">
      <w:rPr>
        <w:b/>
        <w:bCs/>
      </w:rPr>
      <w:tblPr/>
      <w:tcPr>
        <w:tcBorders>
          <w:top w:val="double" w:sz="4" w:space="0" w:color="0097D6" w:themeColor="accent2"/>
        </w:tcBorders>
      </w:tcPr>
    </w:tblStylePr>
    <w:tblStylePr w:type="firstCol">
      <w:rPr>
        <w:b/>
        <w:bCs/>
      </w:rPr>
    </w:tblStylePr>
    <w:tblStylePr w:type="lastCol">
      <w:rPr>
        <w:b/>
        <w:bCs/>
      </w:rPr>
    </w:tblStylePr>
    <w:tblStylePr w:type="band1Vert">
      <w:tblPr/>
      <w:tcPr>
        <w:shd w:val="clear" w:color="auto" w:fill="C3EDFF" w:themeFill="accent2" w:themeFillTint="33"/>
      </w:tcPr>
    </w:tblStylePr>
    <w:tblStylePr w:type="band1Horz">
      <w:tblPr/>
      <w:tcPr>
        <w:shd w:val="clear" w:color="auto" w:fill="C3EDFF" w:themeFill="accent2" w:themeFillTint="33"/>
      </w:tcPr>
    </w:tblStylePr>
  </w:style>
  <w:style w:type="table" w:styleId="GridTable4-Accent1">
    <w:name w:val="Grid Table 4 Accent 1"/>
    <w:basedOn w:val="TableNormal"/>
    <w:uiPriority w:val="49"/>
    <w:rsid w:val="006811F5"/>
    <w:tblPr>
      <w:tblStyleRowBandSize w:val="1"/>
      <w:tblStyleColBandSize w:val="1"/>
      <w:tblBorders>
        <w:top w:val="single" w:sz="4" w:space="0" w:color="39FFF5" w:themeColor="accent1" w:themeTint="99"/>
        <w:left w:val="single" w:sz="4" w:space="0" w:color="39FFF5" w:themeColor="accent1" w:themeTint="99"/>
        <w:bottom w:val="single" w:sz="4" w:space="0" w:color="39FFF5" w:themeColor="accent1" w:themeTint="99"/>
        <w:right w:val="single" w:sz="4" w:space="0" w:color="39FFF5" w:themeColor="accent1" w:themeTint="99"/>
        <w:insideH w:val="single" w:sz="4" w:space="0" w:color="39FFF5" w:themeColor="accent1" w:themeTint="99"/>
        <w:insideV w:val="single" w:sz="4" w:space="0" w:color="39FFF5" w:themeColor="accent1" w:themeTint="99"/>
      </w:tblBorders>
    </w:tblPr>
    <w:tblStylePr w:type="firstRow">
      <w:rPr>
        <w:b/>
        <w:bCs/>
        <w:color w:val="FFFFFF" w:themeColor="background1"/>
      </w:rPr>
      <w:tblPr/>
      <w:tcPr>
        <w:tcBorders>
          <w:top w:val="single" w:sz="4" w:space="0" w:color="00B5AD" w:themeColor="accent1"/>
          <w:left w:val="single" w:sz="4" w:space="0" w:color="00B5AD" w:themeColor="accent1"/>
          <w:bottom w:val="single" w:sz="4" w:space="0" w:color="00B5AD" w:themeColor="accent1"/>
          <w:right w:val="single" w:sz="4" w:space="0" w:color="00B5AD" w:themeColor="accent1"/>
          <w:insideH w:val="nil"/>
          <w:insideV w:val="nil"/>
        </w:tcBorders>
        <w:shd w:val="clear" w:color="auto" w:fill="00B5AD" w:themeFill="accent1"/>
      </w:tcPr>
    </w:tblStylePr>
    <w:tblStylePr w:type="lastRow">
      <w:rPr>
        <w:b/>
        <w:bCs/>
      </w:rPr>
      <w:tblPr/>
      <w:tcPr>
        <w:tcBorders>
          <w:top w:val="double" w:sz="4" w:space="0" w:color="00B5AD" w:themeColor="accent1"/>
        </w:tcBorders>
      </w:tcPr>
    </w:tblStylePr>
    <w:tblStylePr w:type="firstCol">
      <w:rPr>
        <w:b/>
        <w:bCs/>
      </w:rPr>
    </w:tblStylePr>
    <w:tblStylePr w:type="lastCol">
      <w:rPr>
        <w:b/>
        <w:bCs/>
      </w:rPr>
    </w:tblStylePr>
    <w:tblStylePr w:type="band1Vert">
      <w:tblPr/>
      <w:tcPr>
        <w:shd w:val="clear" w:color="auto" w:fill="BDFFFB" w:themeFill="accent1" w:themeFillTint="33"/>
      </w:tcPr>
    </w:tblStylePr>
    <w:tblStylePr w:type="band1Horz">
      <w:tblPr/>
      <w:tcPr>
        <w:shd w:val="clear" w:color="auto" w:fill="BDFFFB" w:themeFill="accent1" w:themeFillTint="33"/>
      </w:tcPr>
    </w:tblStylePr>
  </w:style>
  <w:style w:type="table" w:styleId="GridTable4-Accent3">
    <w:name w:val="Grid Table 4 Accent 3"/>
    <w:basedOn w:val="TableNormal"/>
    <w:uiPriority w:val="49"/>
    <w:rsid w:val="006811F5"/>
    <w:tblPr>
      <w:tblStyleRowBandSize w:val="1"/>
      <w:tblStyleColBandSize w:val="1"/>
      <w:tblBorders>
        <w:top w:val="single" w:sz="4" w:space="0" w:color="13FFF2" w:themeColor="accent3" w:themeTint="99"/>
        <w:left w:val="single" w:sz="4" w:space="0" w:color="13FFF2" w:themeColor="accent3" w:themeTint="99"/>
        <w:bottom w:val="single" w:sz="4" w:space="0" w:color="13FFF2" w:themeColor="accent3" w:themeTint="99"/>
        <w:right w:val="single" w:sz="4" w:space="0" w:color="13FFF2" w:themeColor="accent3" w:themeTint="99"/>
        <w:insideH w:val="single" w:sz="4" w:space="0" w:color="13FFF2" w:themeColor="accent3" w:themeTint="99"/>
        <w:insideV w:val="single" w:sz="4" w:space="0" w:color="13FFF2" w:themeColor="accent3" w:themeTint="99"/>
      </w:tblBorders>
    </w:tblPr>
    <w:tblStylePr w:type="firstRow">
      <w:rPr>
        <w:b/>
        <w:bCs/>
        <w:color w:val="FFFFFF" w:themeColor="background1"/>
      </w:rPr>
      <w:tblPr/>
      <w:tcPr>
        <w:tcBorders>
          <w:top w:val="single" w:sz="4" w:space="0" w:color="00756F" w:themeColor="accent3"/>
          <w:left w:val="single" w:sz="4" w:space="0" w:color="00756F" w:themeColor="accent3"/>
          <w:bottom w:val="single" w:sz="4" w:space="0" w:color="00756F" w:themeColor="accent3"/>
          <w:right w:val="single" w:sz="4" w:space="0" w:color="00756F" w:themeColor="accent3"/>
          <w:insideH w:val="nil"/>
          <w:insideV w:val="nil"/>
        </w:tcBorders>
        <w:shd w:val="clear" w:color="auto" w:fill="00756F" w:themeFill="accent3"/>
      </w:tcPr>
    </w:tblStylePr>
    <w:tblStylePr w:type="lastRow">
      <w:rPr>
        <w:b/>
        <w:bCs/>
      </w:rPr>
      <w:tblPr/>
      <w:tcPr>
        <w:tcBorders>
          <w:top w:val="double" w:sz="4" w:space="0" w:color="00756F" w:themeColor="accent3"/>
        </w:tcBorders>
      </w:tcPr>
    </w:tblStylePr>
    <w:tblStylePr w:type="firstCol">
      <w:rPr>
        <w:b/>
        <w:bCs/>
      </w:rPr>
    </w:tblStylePr>
    <w:tblStylePr w:type="lastCol">
      <w:rPr>
        <w:b/>
        <w:bCs/>
      </w:rPr>
    </w:tblStylePr>
    <w:tblStylePr w:type="band1Vert">
      <w:tblPr/>
      <w:tcPr>
        <w:shd w:val="clear" w:color="auto" w:fill="B0FFFA" w:themeFill="accent3" w:themeFillTint="33"/>
      </w:tcPr>
    </w:tblStylePr>
    <w:tblStylePr w:type="band1Horz">
      <w:tblPr/>
      <w:tcPr>
        <w:shd w:val="clear" w:color="auto" w:fill="B0FFFA" w:themeFill="accent3" w:themeFillTint="33"/>
      </w:tcPr>
    </w:tblStylePr>
  </w:style>
  <w:style w:type="paragraph" w:styleId="NoSpacing">
    <w:name w:val="No Spacing"/>
    <w:uiPriority w:val="1"/>
    <w:semiHidden/>
    <w:rsid w:val="001C1BD0"/>
    <w:pPr>
      <w:jc w:val="both"/>
    </w:pPr>
    <w:rPr>
      <w:rFonts w:ascii="Arial" w:hAnsi="Arial" w:cs="Arial"/>
      <w:lang w:eastAsia="en-US"/>
    </w:rPr>
  </w:style>
  <w:style w:type="paragraph" w:customStyle="1" w:styleId="Partners">
    <w:name w:val="Partners"/>
    <w:basedOn w:val="Normal"/>
    <w:uiPriority w:val="99"/>
    <w:semiHidden/>
    <w:qFormat/>
    <w:rsid w:val="001C1BD0"/>
    <w:pPr>
      <w:spacing w:after="40"/>
      <w:jc w:val="left"/>
    </w:pPr>
    <w:rPr>
      <w:rFonts w:ascii="Bliss 2 Regular" w:hAnsi="Bliss 2 Regular"/>
      <w:sz w:val="10"/>
      <w:szCs w:val="10"/>
    </w:rPr>
  </w:style>
  <w:style w:type="character" w:customStyle="1" w:styleId="Heading4Char">
    <w:name w:val="Heading 4 Char"/>
    <w:basedOn w:val="DefaultParagraphFont"/>
    <w:link w:val="Heading4"/>
    <w:semiHidden/>
    <w:rsid w:val="001C1BD0"/>
    <w:rPr>
      <w:rFonts w:ascii="Arial" w:eastAsiaTheme="majorEastAsia" w:hAnsi="Arial" w:cstheme="majorBidi"/>
      <w:iCs/>
      <w:lang w:eastAsia="en-US"/>
    </w:rPr>
  </w:style>
  <w:style w:type="character" w:customStyle="1" w:styleId="Heading5Char">
    <w:name w:val="Heading 5 Char"/>
    <w:basedOn w:val="DefaultParagraphFont"/>
    <w:link w:val="Heading5"/>
    <w:semiHidden/>
    <w:rsid w:val="001C1BD0"/>
    <w:rPr>
      <w:rFonts w:ascii="Arial" w:eastAsiaTheme="majorEastAsia" w:hAnsi="Arial" w:cstheme="majorBidi"/>
      <w:lang w:eastAsia="en-US"/>
    </w:rPr>
  </w:style>
  <w:style w:type="character" w:customStyle="1" w:styleId="Heading6Char">
    <w:name w:val="Heading 6 Char"/>
    <w:basedOn w:val="DefaultParagraphFont"/>
    <w:link w:val="Heading6"/>
    <w:semiHidden/>
    <w:rsid w:val="001C1BD0"/>
    <w:rPr>
      <w:rFonts w:ascii="Arial" w:eastAsiaTheme="majorEastAsia" w:hAnsi="Arial" w:cstheme="majorBidi"/>
      <w:lang w:eastAsia="en-US"/>
    </w:rPr>
  </w:style>
  <w:style w:type="character" w:customStyle="1" w:styleId="Heading7Char">
    <w:name w:val="Heading 7 Char"/>
    <w:basedOn w:val="DefaultParagraphFont"/>
    <w:link w:val="Heading7"/>
    <w:semiHidden/>
    <w:rsid w:val="001C1BD0"/>
    <w:rPr>
      <w:rFonts w:ascii="Arial" w:eastAsiaTheme="majorEastAsia" w:hAnsi="Arial" w:cstheme="majorBidi"/>
      <w:iCs/>
      <w:lang w:eastAsia="en-US"/>
    </w:rPr>
  </w:style>
  <w:style w:type="character" w:customStyle="1" w:styleId="Heading8Char">
    <w:name w:val="Heading 8 Char"/>
    <w:basedOn w:val="DefaultParagraphFont"/>
    <w:link w:val="Heading8"/>
    <w:semiHidden/>
    <w:rsid w:val="001C1BD0"/>
    <w:rPr>
      <w:rFonts w:ascii="Arial" w:eastAsiaTheme="majorEastAsia" w:hAnsi="Arial" w:cstheme="majorBidi"/>
      <w:color w:val="272727" w:themeColor="text1" w:themeTint="D8"/>
      <w:szCs w:val="21"/>
      <w:lang w:eastAsia="en-US"/>
    </w:rPr>
  </w:style>
  <w:style w:type="character" w:customStyle="1" w:styleId="Heading9Char">
    <w:name w:val="Heading 9 Char"/>
    <w:basedOn w:val="DefaultParagraphFont"/>
    <w:link w:val="Heading9"/>
    <w:semiHidden/>
    <w:rsid w:val="001C1BD0"/>
    <w:rPr>
      <w:rFonts w:ascii="Arial" w:eastAsiaTheme="majorEastAsia" w:hAnsi="Arial" w:cstheme="majorBidi"/>
      <w:i/>
      <w:iCs/>
      <w:color w:val="272727" w:themeColor="text1" w:themeTint="D8"/>
      <w:szCs w:val="21"/>
      <w:lang w:eastAsia="en-US"/>
    </w:rPr>
  </w:style>
  <w:style w:type="paragraph" w:customStyle="1" w:styleId="Appendix">
    <w:name w:val="Appendix #"/>
    <w:basedOn w:val="Body"/>
    <w:next w:val="SubHeading"/>
    <w:uiPriority w:val="5"/>
    <w:qFormat/>
    <w:rsid w:val="001C1BD0"/>
    <w:pPr>
      <w:keepNext/>
      <w:pageBreakBefore/>
      <w:numPr>
        <w:numId w:val="14"/>
      </w:numPr>
      <w:jc w:val="center"/>
      <w:outlineLvl w:val="7"/>
    </w:pPr>
    <w:rPr>
      <w:b/>
      <w:caps/>
    </w:rPr>
  </w:style>
  <w:style w:type="paragraph" w:customStyle="1" w:styleId="Background">
    <w:name w:val="Background"/>
    <w:basedOn w:val="Body"/>
    <w:uiPriority w:val="99"/>
    <w:qFormat/>
    <w:rsid w:val="001C1BD0"/>
    <w:pPr>
      <w:numPr>
        <w:ilvl w:val="1"/>
        <w:numId w:val="15"/>
      </w:numPr>
    </w:pPr>
  </w:style>
  <w:style w:type="paragraph" w:customStyle="1" w:styleId="Body1">
    <w:name w:val="Body 1"/>
    <w:basedOn w:val="Body"/>
    <w:link w:val="Body1Char"/>
    <w:qFormat/>
    <w:rsid w:val="001C1BD0"/>
    <w:pPr>
      <w:numPr>
        <w:numId w:val="1"/>
      </w:numPr>
    </w:pPr>
  </w:style>
  <w:style w:type="paragraph" w:customStyle="1" w:styleId="Body2">
    <w:name w:val="Body 2"/>
    <w:basedOn w:val="Body"/>
    <w:qFormat/>
    <w:rsid w:val="001C1BD0"/>
    <w:pPr>
      <w:numPr>
        <w:ilvl w:val="1"/>
        <w:numId w:val="1"/>
      </w:numPr>
    </w:pPr>
  </w:style>
  <w:style w:type="paragraph" w:customStyle="1" w:styleId="Body3">
    <w:name w:val="Body 3"/>
    <w:basedOn w:val="Body"/>
    <w:qFormat/>
    <w:rsid w:val="001C1BD0"/>
    <w:pPr>
      <w:numPr>
        <w:ilvl w:val="2"/>
        <w:numId w:val="1"/>
      </w:numPr>
    </w:pPr>
  </w:style>
  <w:style w:type="paragraph" w:customStyle="1" w:styleId="Body4">
    <w:name w:val="Body 4"/>
    <w:basedOn w:val="Body"/>
    <w:qFormat/>
    <w:rsid w:val="001C1BD0"/>
    <w:pPr>
      <w:numPr>
        <w:ilvl w:val="3"/>
        <w:numId w:val="1"/>
      </w:numPr>
    </w:pPr>
  </w:style>
  <w:style w:type="paragraph" w:customStyle="1" w:styleId="Body5">
    <w:name w:val="Body 5"/>
    <w:basedOn w:val="Body"/>
    <w:qFormat/>
    <w:rsid w:val="001C1BD0"/>
    <w:pPr>
      <w:numPr>
        <w:ilvl w:val="4"/>
        <w:numId w:val="1"/>
      </w:numPr>
    </w:pPr>
  </w:style>
  <w:style w:type="paragraph" w:customStyle="1" w:styleId="Body6">
    <w:name w:val="Body 6"/>
    <w:basedOn w:val="Body"/>
    <w:qFormat/>
    <w:rsid w:val="001C1BD0"/>
    <w:pPr>
      <w:numPr>
        <w:ilvl w:val="5"/>
        <w:numId w:val="1"/>
      </w:numPr>
    </w:pPr>
  </w:style>
  <w:style w:type="character" w:styleId="BookTitle">
    <w:name w:val="Book Title"/>
    <w:basedOn w:val="DefaultParagraphFont"/>
    <w:uiPriority w:val="33"/>
    <w:semiHidden/>
    <w:rsid w:val="001C1BD0"/>
    <w:rPr>
      <w:b/>
      <w:bCs/>
      <w:i/>
      <w:iCs/>
      <w:spacing w:val="5"/>
    </w:rPr>
  </w:style>
  <w:style w:type="paragraph" w:customStyle="1" w:styleId="Bullet1">
    <w:name w:val="Bullet 1"/>
    <w:basedOn w:val="Body"/>
    <w:uiPriority w:val="4"/>
    <w:qFormat/>
    <w:rsid w:val="001C1BD0"/>
    <w:pPr>
      <w:numPr>
        <w:numId w:val="2"/>
      </w:numPr>
    </w:pPr>
  </w:style>
  <w:style w:type="paragraph" w:customStyle="1" w:styleId="Bullet2">
    <w:name w:val="Bullet 2"/>
    <w:basedOn w:val="Body"/>
    <w:uiPriority w:val="4"/>
    <w:qFormat/>
    <w:rsid w:val="001C1BD0"/>
    <w:pPr>
      <w:numPr>
        <w:ilvl w:val="1"/>
        <w:numId w:val="2"/>
      </w:numPr>
    </w:pPr>
  </w:style>
  <w:style w:type="paragraph" w:customStyle="1" w:styleId="Bullet3">
    <w:name w:val="Bullet 3"/>
    <w:basedOn w:val="Body"/>
    <w:uiPriority w:val="4"/>
    <w:qFormat/>
    <w:rsid w:val="001C1BD0"/>
    <w:pPr>
      <w:numPr>
        <w:ilvl w:val="2"/>
        <w:numId w:val="2"/>
      </w:numPr>
    </w:pPr>
  </w:style>
  <w:style w:type="paragraph" w:customStyle="1" w:styleId="Bullet4">
    <w:name w:val="Bullet 4"/>
    <w:basedOn w:val="Body"/>
    <w:uiPriority w:val="4"/>
    <w:qFormat/>
    <w:rsid w:val="001C1BD0"/>
    <w:pPr>
      <w:numPr>
        <w:ilvl w:val="3"/>
        <w:numId w:val="2"/>
      </w:numPr>
    </w:pPr>
  </w:style>
  <w:style w:type="numbering" w:customStyle="1" w:styleId="Bullets">
    <w:name w:val="Bullets"/>
    <w:basedOn w:val="NoList"/>
    <w:rsid w:val="001C1BD0"/>
    <w:pPr>
      <w:numPr>
        <w:numId w:val="2"/>
      </w:numPr>
    </w:pPr>
  </w:style>
  <w:style w:type="numbering" w:customStyle="1" w:styleId="CentredHeadings">
    <w:name w:val="Centred Headings"/>
    <w:basedOn w:val="NoList"/>
    <w:rsid w:val="001C1BD0"/>
    <w:pPr>
      <w:numPr>
        <w:numId w:val="3"/>
      </w:numPr>
    </w:pPr>
  </w:style>
  <w:style w:type="paragraph" w:customStyle="1" w:styleId="Definition1">
    <w:name w:val="Definition 1"/>
    <w:basedOn w:val="Body"/>
    <w:uiPriority w:val="4"/>
    <w:qFormat/>
    <w:rsid w:val="001C1BD0"/>
    <w:pPr>
      <w:numPr>
        <w:numId w:val="5"/>
      </w:numPr>
    </w:pPr>
  </w:style>
  <w:style w:type="paragraph" w:customStyle="1" w:styleId="Definition2">
    <w:name w:val="Definition 2"/>
    <w:basedOn w:val="Body"/>
    <w:uiPriority w:val="4"/>
    <w:qFormat/>
    <w:rsid w:val="001C1BD0"/>
    <w:pPr>
      <w:numPr>
        <w:ilvl w:val="1"/>
        <w:numId w:val="5"/>
      </w:numPr>
    </w:pPr>
  </w:style>
  <w:style w:type="paragraph" w:customStyle="1" w:styleId="Definition3">
    <w:name w:val="Definition 3"/>
    <w:basedOn w:val="Body"/>
    <w:uiPriority w:val="4"/>
    <w:qFormat/>
    <w:rsid w:val="001C1BD0"/>
    <w:pPr>
      <w:numPr>
        <w:ilvl w:val="2"/>
        <w:numId w:val="5"/>
      </w:numPr>
    </w:pPr>
  </w:style>
  <w:style w:type="paragraph" w:customStyle="1" w:styleId="Definition4">
    <w:name w:val="Definition 4"/>
    <w:basedOn w:val="Body"/>
    <w:uiPriority w:val="4"/>
    <w:qFormat/>
    <w:rsid w:val="001C1BD0"/>
    <w:pPr>
      <w:numPr>
        <w:ilvl w:val="3"/>
        <w:numId w:val="5"/>
      </w:numPr>
    </w:pPr>
  </w:style>
  <w:style w:type="numbering" w:customStyle="1" w:styleId="DefinitionsNumbering">
    <w:name w:val="Definitions Numbering"/>
    <w:basedOn w:val="NoList"/>
    <w:rsid w:val="001C1BD0"/>
    <w:pPr>
      <w:numPr>
        <w:numId w:val="5"/>
      </w:numPr>
    </w:pPr>
  </w:style>
  <w:style w:type="character" w:styleId="Emphasis">
    <w:name w:val="Emphasis"/>
    <w:basedOn w:val="DefaultParagraphFont"/>
    <w:uiPriority w:val="20"/>
    <w:semiHidden/>
    <w:rsid w:val="001C1BD0"/>
    <w:rPr>
      <w:i/>
      <w:iCs/>
    </w:rPr>
  </w:style>
  <w:style w:type="numbering" w:customStyle="1" w:styleId="GeneralHeadings">
    <w:name w:val="General Headings"/>
    <w:basedOn w:val="NoList"/>
    <w:rsid w:val="001C1BD0"/>
    <w:pPr>
      <w:numPr>
        <w:numId w:val="6"/>
      </w:numPr>
    </w:pPr>
  </w:style>
  <w:style w:type="character" w:styleId="Hyperlink">
    <w:name w:val="Hyperlink"/>
    <w:basedOn w:val="DefaultParagraphFont"/>
    <w:uiPriority w:val="99"/>
    <w:rsid w:val="001C1BD0"/>
    <w:rPr>
      <w:color w:val="A80C35" w:themeColor="hyperlink"/>
      <w:u w:val="single"/>
    </w:rPr>
  </w:style>
  <w:style w:type="character" w:styleId="IntenseEmphasis">
    <w:name w:val="Intense Emphasis"/>
    <w:aliases w:val="PARTYNAME"/>
    <w:basedOn w:val="DefaultParagraphFont"/>
    <w:uiPriority w:val="21"/>
    <w:semiHidden/>
    <w:qFormat/>
    <w:rsid w:val="001C1BD0"/>
    <w:rPr>
      <w:rFonts w:ascii="Arial" w:hAnsi="Arial"/>
      <w:b/>
      <w:i w:val="0"/>
      <w:iCs/>
      <w:caps/>
      <w:smallCaps w:val="0"/>
      <w:color w:val="auto"/>
      <w:sz w:val="20"/>
    </w:rPr>
  </w:style>
  <w:style w:type="paragraph" w:styleId="IntenseQuote">
    <w:name w:val="Intense Quote"/>
    <w:basedOn w:val="Normal"/>
    <w:next w:val="Normal"/>
    <w:link w:val="IntenseQuoteChar"/>
    <w:uiPriority w:val="30"/>
    <w:semiHidden/>
    <w:rsid w:val="001C1BD0"/>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1C1BD0"/>
    <w:rPr>
      <w:rFonts w:ascii="Arial" w:eastAsiaTheme="minorHAnsi" w:hAnsi="Arial" w:cstheme="minorBidi"/>
      <w:i/>
      <w:iCs/>
      <w:lang w:eastAsia="en-US"/>
    </w:rPr>
  </w:style>
  <w:style w:type="character" w:styleId="IntenseReference">
    <w:name w:val="Intense Reference"/>
    <w:basedOn w:val="DefaultParagraphFont"/>
    <w:uiPriority w:val="32"/>
    <w:semiHidden/>
    <w:rsid w:val="001C1BD0"/>
    <w:rPr>
      <w:b/>
      <w:bCs/>
      <w:caps/>
      <w:smallCaps w:val="0"/>
      <w:color w:val="auto"/>
      <w:spacing w:val="5"/>
    </w:rPr>
  </w:style>
  <w:style w:type="paragraph" w:customStyle="1" w:styleId="Level1">
    <w:name w:val="Level 1"/>
    <w:basedOn w:val="Normal"/>
    <w:link w:val="Level1Char"/>
    <w:uiPriority w:val="3"/>
    <w:qFormat/>
    <w:rsid w:val="001C1BD0"/>
    <w:pPr>
      <w:numPr>
        <w:numId w:val="7"/>
      </w:numPr>
      <w:spacing w:after="240"/>
    </w:pPr>
  </w:style>
  <w:style w:type="paragraph" w:customStyle="1" w:styleId="LegalFooterAddress">
    <w:name w:val="Legal Footer Address"/>
    <w:basedOn w:val="Footer"/>
    <w:semiHidden/>
    <w:qFormat/>
    <w:rsid w:val="001C1BD0"/>
    <w:pPr>
      <w:spacing w:after="120"/>
      <w:jc w:val="center"/>
    </w:pPr>
    <w:rPr>
      <w:rFonts w:eastAsia="Times New Roman" w:cs="Times New Roman"/>
      <w:sz w:val="13"/>
      <w:szCs w:val="12"/>
      <w:lang w:eastAsia="en-GB"/>
    </w:rPr>
  </w:style>
  <w:style w:type="paragraph" w:customStyle="1" w:styleId="Level2">
    <w:name w:val="Level 2"/>
    <w:basedOn w:val="Normal"/>
    <w:uiPriority w:val="3"/>
    <w:qFormat/>
    <w:rsid w:val="001C1BD0"/>
    <w:pPr>
      <w:numPr>
        <w:ilvl w:val="1"/>
        <w:numId w:val="7"/>
      </w:numPr>
      <w:spacing w:after="240"/>
    </w:pPr>
  </w:style>
  <w:style w:type="paragraph" w:customStyle="1" w:styleId="LegalFooterCompanyName">
    <w:name w:val="Legal Footer Company Name"/>
    <w:basedOn w:val="Footer"/>
    <w:link w:val="LegalFooterCompanyNameChar"/>
    <w:semiHidden/>
    <w:qFormat/>
    <w:rsid w:val="001C1BD0"/>
    <w:pPr>
      <w:spacing w:after="120"/>
      <w:jc w:val="center"/>
    </w:pPr>
    <w:rPr>
      <w:sz w:val="15"/>
    </w:rPr>
  </w:style>
  <w:style w:type="paragraph" w:customStyle="1" w:styleId="Level3">
    <w:name w:val="Level 3"/>
    <w:basedOn w:val="Normal"/>
    <w:uiPriority w:val="3"/>
    <w:qFormat/>
    <w:rsid w:val="001C1BD0"/>
    <w:pPr>
      <w:numPr>
        <w:ilvl w:val="2"/>
        <w:numId w:val="7"/>
      </w:numPr>
      <w:spacing w:after="240"/>
    </w:pPr>
  </w:style>
  <w:style w:type="character" w:customStyle="1" w:styleId="LegalFooterCompanyNameChar">
    <w:name w:val="Legal Footer Company Name Char"/>
    <w:basedOn w:val="FooterChar"/>
    <w:link w:val="LegalFooterCompanyName"/>
    <w:semiHidden/>
    <w:rsid w:val="001C1BD0"/>
    <w:rPr>
      <w:rFonts w:ascii="Arial" w:eastAsiaTheme="minorHAnsi" w:hAnsi="Arial" w:cstheme="minorBidi"/>
      <w:sz w:val="15"/>
      <w:lang w:eastAsia="en-US"/>
    </w:rPr>
  </w:style>
  <w:style w:type="paragraph" w:customStyle="1" w:styleId="Level4">
    <w:name w:val="Level 4"/>
    <w:basedOn w:val="Body4"/>
    <w:uiPriority w:val="3"/>
    <w:qFormat/>
    <w:rsid w:val="001C1BD0"/>
    <w:pPr>
      <w:numPr>
        <w:numId w:val="7"/>
      </w:numPr>
    </w:pPr>
  </w:style>
  <w:style w:type="paragraph" w:customStyle="1" w:styleId="Level5">
    <w:name w:val="Level 5"/>
    <w:basedOn w:val="Body5"/>
    <w:uiPriority w:val="3"/>
    <w:qFormat/>
    <w:rsid w:val="001C1BD0"/>
    <w:pPr>
      <w:numPr>
        <w:numId w:val="7"/>
      </w:numPr>
    </w:pPr>
  </w:style>
  <w:style w:type="paragraph" w:customStyle="1" w:styleId="Level6">
    <w:name w:val="Level 6"/>
    <w:basedOn w:val="Body6"/>
    <w:uiPriority w:val="3"/>
    <w:qFormat/>
    <w:rsid w:val="001C1BD0"/>
    <w:pPr>
      <w:numPr>
        <w:numId w:val="7"/>
      </w:numPr>
    </w:pPr>
  </w:style>
  <w:style w:type="paragraph" w:styleId="ListParagraph">
    <w:name w:val="List Paragraph"/>
    <w:basedOn w:val="Normal"/>
    <w:uiPriority w:val="34"/>
    <w:semiHidden/>
    <w:rsid w:val="001C1BD0"/>
    <w:pPr>
      <w:ind w:left="720"/>
      <w:contextualSpacing/>
    </w:pPr>
  </w:style>
  <w:style w:type="numbering" w:customStyle="1" w:styleId="MainNumbering">
    <w:name w:val="Main Numbering"/>
    <w:basedOn w:val="NoList"/>
    <w:rsid w:val="001C1BD0"/>
    <w:pPr>
      <w:numPr>
        <w:numId w:val="13"/>
      </w:numPr>
    </w:pPr>
  </w:style>
  <w:style w:type="paragraph" w:customStyle="1" w:styleId="Part">
    <w:name w:val="Part #"/>
    <w:basedOn w:val="Body"/>
    <w:next w:val="SubHeading"/>
    <w:uiPriority w:val="5"/>
    <w:qFormat/>
    <w:rsid w:val="001C1BD0"/>
    <w:pPr>
      <w:keepNext/>
      <w:numPr>
        <w:ilvl w:val="1"/>
        <w:numId w:val="14"/>
      </w:numPr>
      <w:jc w:val="center"/>
      <w:outlineLvl w:val="8"/>
    </w:pPr>
    <w:rPr>
      <w:rFonts w:ascii="Arial Bold" w:hAnsi="Arial Bold"/>
      <w:b/>
      <w:caps/>
    </w:rPr>
  </w:style>
  <w:style w:type="paragraph" w:customStyle="1" w:styleId="Parties">
    <w:name w:val="Parties"/>
    <w:basedOn w:val="Body"/>
    <w:uiPriority w:val="99"/>
    <w:qFormat/>
    <w:rsid w:val="001C1BD0"/>
    <w:pPr>
      <w:numPr>
        <w:numId w:val="15"/>
      </w:numPr>
    </w:pPr>
  </w:style>
  <w:style w:type="numbering" w:customStyle="1" w:styleId="PartiesandBackground">
    <w:name w:val="Parties and Background"/>
    <w:basedOn w:val="NoList"/>
    <w:rsid w:val="001C1BD0"/>
    <w:pPr>
      <w:numPr>
        <w:numId w:val="15"/>
      </w:numPr>
    </w:pPr>
  </w:style>
  <w:style w:type="paragraph" w:styleId="Quote">
    <w:name w:val="Quote"/>
    <w:basedOn w:val="Normal"/>
    <w:next w:val="Normal"/>
    <w:link w:val="QuoteChar"/>
    <w:uiPriority w:val="4"/>
    <w:rsid w:val="001C1B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4"/>
    <w:rsid w:val="001C1BD0"/>
    <w:rPr>
      <w:rFonts w:ascii="Arial" w:eastAsiaTheme="minorHAnsi" w:hAnsi="Arial" w:cstheme="minorBidi"/>
      <w:i/>
      <w:iCs/>
      <w:color w:val="404040" w:themeColor="text1" w:themeTint="BF"/>
      <w:lang w:eastAsia="en-US"/>
    </w:rPr>
  </w:style>
  <w:style w:type="paragraph" w:customStyle="1" w:styleId="Schedule">
    <w:name w:val="Schedule #"/>
    <w:basedOn w:val="Body"/>
    <w:next w:val="SubHeading"/>
    <w:uiPriority w:val="5"/>
    <w:qFormat/>
    <w:rsid w:val="001C1BD0"/>
    <w:pPr>
      <w:keepNext/>
      <w:pageBreakBefore/>
      <w:numPr>
        <w:numId w:val="16"/>
      </w:numPr>
      <w:jc w:val="center"/>
      <w:outlineLvl w:val="0"/>
    </w:pPr>
    <w:rPr>
      <w:b/>
      <w:caps/>
    </w:rPr>
  </w:style>
  <w:style w:type="paragraph" w:styleId="Signature">
    <w:name w:val="Signature"/>
    <w:basedOn w:val="Normal"/>
    <w:link w:val="SignatureChar"/>
    <w:uiPriority w:val="99"/>
    <w:rsid w:val="001C1BD0"/>
    <w:pPr>
      <w:jc w:val="left"/>
    </w:pPr>
    <w:rPr>
      <w:b/>
    </w:rPr>
  </w:style>
  <w:style w:type="character" w:customStyle="1" w:styleId="SignatureChar">
    <w:name w:val="Signature Char"/>
    <w:basedOn w:val="DefaultParagraphFont"/>
    <w:link w:val="Signature"/>
    <w:uiPriority w:val="99"/>
    <w:rsid w:val="001C1BD0"/>
    <w:rPr>
      <w:rFonts w:ascii="Arial" w:eastAsiaTheme="minorHAnsi" w:hAnsi="Arial" w:cstheme="minorBidi"/>
      <w:b/>
      <w:lang w:eastAsia="en-US"/>
    </w:rPr>
  </w:style>
  <w:style w:type="character" w:styleId="Strong">
    <w:name w:val="Strong"/>
    <w:basedOn w:val="DefaultParagraphFont"/>
    <w:uiPriority w:val="22"/>
    <w:semiHidden/>
    <w:rsid w:val="001C1BD0"/>
    <w:rPr>
      <w:b/>
      <w:bCs/>
    </w:rPr>
  </w:style>
  <w:style w:type="paragraph" w:customStyle="1" w:styleId="SubHeading">
    <w:name w:val="Sub Heading"/>
    <w:basedOn w:val="Body"/>
    <w:next w:val="Body"/>
    <w:uiPriority w:val="1"/>
    <w:qFormat/>
    <w:rsid w:val="001C1BD0"/>
    <w:pPr>
      <w:keepNext/>
      <w:numPr>
        <w:numId w:val="17"/>
      </w:numPr>
      <w:jc w:val="center"/>
    </w:pPr>
    <w:rPr>
      <w:b/>
      <w:caps/>
    </w:rPr>
  </w:style>
  <w:style w:type="paragraph" w:styleId="Subtitle">
    <w:name w:val="Subtitle"/>
    <w:basedOn w:val="Normal"/>
    <w:next w:val="Normal"/>
    <w:link w:val="SubtitleChar"/>
    <w:uiPriority w:val="11"/>
    <w:semiHidden/>
    <w:rsid w:val="001C1BD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1C1BD0"/>
    <w:rPr>
      <w:rFonts w:asciiTheme="minorHAnsi" w:eastAsiaTheme="minorEastAsia" w:hAnsiTheme="minorHAnsi" w:cstheme="minorBidi"/>
      <w:color w:val="5A5A5A" w:themeColor="text1" w:themeTint="A5"/>
      <w:spacing w:val="15"/>
      <w:sz w:val="22"/>
      <w:lang w:eastAsia="en-US"/>
    </w:rPr>
  </w:style>
  <w:style w:type="character" w:styleId="SubtleEmphasis">
    <w:name w:val="Subtle Emphasis"/>
    <w:basedOn w:val="DefaultParagraphFont"/>
    <w:uiPriority w:val="19"/>
    <w:semiHidden/>
    <w:rsid w:val="001C1BD0"/>
    <w:rPr>
      <w:i/>
      <w:iCs/>
      <w:color w:val="404040" w:themeColor="text1" w:themeTint="BF"/>
    </w:rPr>
  </w:style>
  <w:style w:type="paragraph" w:styleId="Title">
    <w:name w:val="Title"/>
    <w:basedOn w:val="Normal"/>
    <w:next w:val="Normal"/>
    <w:link w:val="TitleChar"/>
    <w:uiPriority w:val="10"/>
    <w:semiHidden/>
    <w:rsid w:val="001C1B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C1BD0"/>
    <w:rPr>
      <w:rFonts w:asciiTheme="majorHAnsi" w:eastAsiaTheme="majorEastAsia" w:hAnsiTheme="majorHAnsi" w:cstheme="majorBidi"/>
      <w:spacing w:val="-10"/>
      <w:kern w:val="28"/>
      <w:sz w:val="56"/>
      <w:szCs w:val="56"/>
      <w:lang w:eastAsia="en-US"/>
    </w:rPr>
  </w:style>
  <w:style w:type="character" w:customStyle="1" w:styleId="BodyChar">
    <w:name w:val="Body Char"/>
    <w:basedOn w:val="DefaultParagraphFont"/>
    <w:link w:val="Body"/>
    <w:rsid w:val="001C1BD0"/>
    <w:rPr>
      <w:rFonts w:ascii="Arial" w:eastAsiaTheme="minorHAnsi" w:hAnsi="Arial" w:cstheme="minorBidi"/>
      <w:lang w:eastAsia="en-US"/>
    </w:rPr>
  </w:style>
  <w:style w:type="character" w:customStyle="1" w:styleId="Body1Char">
    <w:name w:val="Body 1 Char"/>
    <w:basedOn w:val="BodyChar"/>
    <w:link w:val="Body1"/>
    <w:rsid w:val="001C1BD0"/>
    <w:rPr>
      <w:rFonts w:ascii="Arial" w:eastAsiaTheme="minorHAnsi" w:hAnsi="Arial" w:cstheme="minorBidi"/>
      <w:lang w:eastAsia="en-US"/>
    </w:rPr>
  </w:style>
  <w:style w:type="character" w:customStyle="1" w:styleId="Level1Char">
    <w:name w:val="Level 1 Char"/>
    <w:basedOn w:val="Body1Char"/>
    <w:link w:val="Level1"/>
    <w:uiPriority w:val="3"/>
    <w:rsid w:val="00A9381B"/>
    <w:rPr>
      <w:rFonts w:ascii="Arial" w:eastAsiaTheme="minorHAnsi" w:hAnsi="Arial" w:cstheme="minorBidi"/>
      <w:lang w:eastAsia="en-US"/>
    </w:rPr>
  </w:style>
  <w:style w:type="character" w:customStyle="1" w:styleId="BodyboldCaps">
    <w:name w:val="Body bold Caps"/>
    <w:basedOn w:val="DefaultParagraphFont"/>
    <w:uiPriority w:val="5"/>
    <w:qFormat/>
    <w:rsid w:val="001C1BD0"/>
    <w:rPr>
      <w:rFonts w:ascii="Arial" w:hAnsi="Arial"/>
      <w:b/>
      <w:bCs/>
      <w:caps/>
      <w:smallCaps w:val="0"/>
      <w:sz w:val="20"/>
    </w:rPr>
  </w:style>
  <w:style w:type="paragraph" w:customStyle="1" w:styleId="Defs">
    <w:name w:val="Defs"/>
    <w:basedOn w:val="Normal"/>
    <w:next w:val="Normal"/>
    <w:uiPriority w:val="1"/>
    <w:semiHidden/>
    <w:qFormat/>
    <w:rsid w:val="00A9381B"/>
    <w:pPr>
      <w:spacing w:after="240"/>
    </w:pPr>
    <w:rPr>
      <w:b/>
      <w:lang w:val="en-US"/>
    </w:rPr>
  </w:style>
  <w:style w:type="paragraph" w:customStyle="1" w:styleId="Frontpagetext">
    <w:name w:val="Frontpage text"/>
    <w:basedOn w:val="Normal"/>
    <w:uiPriority w:val="99"/>
    <w:semiHidden/>
    <w:qFormat/>
    <w:rsid w:val="001C1BD0"/>
    <w:pPr>
      <w:tabs>
        <w:tab w:val="left" w:pos="3686"/>
      </w:tabs>
      <w:jc w:val="left"/>
    </w:pPr>
    <w:rPr>
      <w:rFonts w:ascii="Arial Bold" w:hAnsi="Arial Bold"/>
      <w:b/>
      <w:caps/>
    </w:rPr>
  </w:style>
  <w:style w:type="paragraph" w:customStyle="1" w:styleId="Frontpagetexttitle">
    <w:name w:val="Frontpage text title"/>
    <w:basedOn w:val="Frontpagetext"/>
    <w:uiPriority w:val="99"/>
    <w:semiHidden/>
    <w:qFormat/>
    <w:rsid w:val="001C1BD0"/>
    <w:pPr>
      <w:spacing w:after="120"/>
      <w:contextualSpacing/>
      <w:jc w:val="center"/>
    </w:pPr>
    <w:rPr>
      <w:rFonts w:ascii="Arial" w:hAnsi="Arial"/>
      <w:caps w:val="0"/>
    </w:rPr>
  </w:style>
  <w:style w:type="paragraph" w:customStyle="1" w:styleId="Parties-Emphasis-Paragraph">
    <w:name w:val="Parties - Emphasis - Paragraph"/>
    <w:basedOn w:val="MainHeading"/>
    <w:semiHidden/>
    <w:qFormat/>
    <w:rsid w:val="001C1BD0"/>
    <w:rPr>
      <w:rFonts w:ascii="Arial Bold" w:hAnsi="Arial Bold"/>
      <w:sz w:val="20"/>
    </w:rPr>
  </w:style>
  <w:style w:type="paragraph" w:styleId="BalloonText">
    <w:name w:val="Balloon Text"/>
    <w:basedOn w:val="Normal"/>
    <w:link w:val="BalloonTextChar"/>
    <w:uiPriority w:val="99"/>
    <w:semiHidden/>
    <w:unhideWhenUsed/>
    <w:rsid w:val="001C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D0"/>
    <w:rPr>
      <w:rFonts w:ascii="Segoe UI" w:eastAsiaTheme="minorHAnsi" w:hAnsi="Segoe UI" w:cs="Segoe UI"/>
      <w:sz w:val="18"/>
      <w:szCs w:val="18"/>
      <w:lang w:eastAsia="en-US"/>
    </w:rPr>
  </w:style>
  <w:style w:type="paragraph" w:styleId="BlockText">
    <w:name w:val="Block Text"/>
    <w:basedOn w:val="Normal"/>
    <w:uiPriority w:val="99"/>
    <w:semiHidden/>
    <w:unhideWhenUsed/>
    <w:rsid w:val="001C1BD0"/>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character" w:customStyle="1" w:styleId="Bodybold">
    <w:name w:val="Body bold"/>
    <w:basedOn w:val="DefaultParagraphFont"/>
    <w:uiPriority w:val="1"/>
    <w:semiHidden/>
    <w:qFormat/>
    <w:rsid w:val="001C1BD0"/>
    <w:rPr>
      <w:rFonts w:ascii="Arial Bold" w:hAnsi="Arial Bold"/>
      <w:b/>
      <w:bCs/>
      <w:caps w:val="0"/>
      <w:sz w:val="20"/>
    </w:rPr>
  </w:style>
  <w:style w:type="paragraph" w:styleId="BodyText">
    <w:name w:val="Body Text"/>
    <w:basedOn w:val="Normal"/>
    <w:link w:val="BodyTextChar"/>
    <w:uiPriority w:val="99"/>
    <w:semiHidden/>
    <w:rsid w:val="001C1BD0"/>
    <w:pPr>
      <w:spacing w:after="120"/>
    </w:pPr>
  </w:style>
  <w:style w:type="character" w:customStyle="1" w:styleId="BodyTextChar">
    <w:name w:val="Body Text Char"/>
    <w:basedOn w:val="DefaultParagraphFont"/>
    <w:link w:val="BodyText"/>
    <w:uiPriority w:val="99"/>
    <w:semiHidden/>
    <w:rsid w:val="001C1BD0"/>
    <w:rPr>
      <w:rFonts w:ascii="Arial" w:eastAsiaTheme="minorHAnsi" w:hAnsi="Arial" w:cstheme="minorBidi"/>
      <w:lang w:eastAsia="en-US"/>
    </w:rPr>
  </w:style>
  <w:style w:type="character" w:styleId="CommentReference">
    <w:name w:val="annotation reference"/>
    <w:basedOn w:val="DefaultParagraphFont"/>
    <w:uiPriority w:val="99"/>
    <w:semiHidden/>
    <w:unhideWhenUsed/>
    <w:rsid w:val="001C1BD0"/>
    <w:rPr>
      <w:sz w:val="16"/>
      <w:szCs w:val="16"/>
    </w:rPr>
  </w:style>
  <w:style w:type="paragraph" w:styleId="CommentSubject">
    <w:name w:val="annotation subject"/>
    <w:basedOn w:val="CommentText"/>
    <w:next w:val="CommentText"/>
    <w:link w:val="CommentSubjectChar"/>
    <w:uiPriority w:val="99"/>
    <w:semiHidden/>
    <w:unhideWhenUsed/>
    <w:rsid w:val="001C1BD0"/>
    <w:rPr>
      <w:b/>
      <w:bCs/>
    </w:rPr>
  </w:style>
  <w:style w:type="character" w:customStyle="1" w:styleId="CommentSubjectChar">
    <w:name w:val="Comment Subject Char"/>
    <w:basedOn w:val="CommentTextChar"/>
    <w:link w:val="CommentSubject"/>
    <w:uiPriority w:val="99"/>
    <w:semiHidden/>
    <w:rsid w:val="001C1BD0"/>
    <w:rPr>
      <w:rFonts w:ascii="Arial" w:eastAsiaTheme="minorHAnsi" w:hAnsi="Arial" w:cstheme="minorBidi"/>
      <w:b/>
      <w:bCs/>
      <w:lang w:eastAsia="en-US"/>
    </w:rPr>
  </w:style>
  <w:style w:type="paragraph" w:customStyle="1" w:styleId="Definition">
    <w:name w:val="Definition"/>
    <w:basedOn w:val="Normal"/>
    <w:next w:val="Normal"/>
    <w:uiPriority w:val="4"/>
    <w:qFormat/>
    <w:rsid w:val="001C1BD0"/>
    <w:pPr>
      <w:numPr>
        <w:numId w:val="4"/>
      </w:numPr>
      <w:spacing w:after="240"/>
    </w:pPr>
    <w:rPr>
      <w:b/>
      <w:lang w:val="en-US"/>
    </w:rPr>
  </w:style>
  <w:style w:type="paragraph" w:customStyle="1" w:styleId="DocumentType">
    <w:name w:val="Document Type"/>
    <w:basedOn w:val="Frontpagetext"/>
    <w:uiPriority w:val="99"/>
    <w:semiHidden/>
    <w:qFormat/>
    <w:rsid w:val="001C1BD0"/>
    <w:pPr>
      <w:spacing w:before="120" w:after="240"/>
      <w:contextualSpacing/>
      <w:jc w:val="center"/>
    </w:pPr>
    <w:rPr>
      <w:sz w:val="24"/>
    </w:rPr>
  </w:style>
  <w:style w:type="paragraph" w:customStyle="1" w:styleId="Emailsignoff">
    <w:name w:val="Email signoff"/>
    <w:basedOn w:val="Body"/>
    <w:semiHidden/>
    <w:qFormat/>
    <w:rsid w:val="001C1BD0"/>
    <w:rPr>
      <w:b/>
    </w:rPr>
  </w:style>
  <w:style w:type="paragraph" w:styleId="Index1">
    <w:name w:val="index 1"/>
    <w:basedOn w:val="Normal"/>
    <w:next w:val="Normal"/>
    <w:autoRedefine/>
    <w:uiPriority w:val="99"/>
    <w:semiHidden/>
    <w:rsid w:val="001C1BD0"/>
    <w:pPr>
      <w:ind w:left="200" w:hanging="200"/>
    </w:pPr>
  </w:style>
  <w:style w:type="paragraph" w:styleId="Index2">
    <w:name w:val="index 2"/>
    <w:basedOn w:val="Normal"/>
    <w:next w:val="Normal"/>
    <w:autoRedefine/>
    <w:uiPriority w:val="99"/>
    <w:semiHidden/>
    <w:rsid w:val="001C1BD0"/>
    <w:pPr>
      <w:ind w:left="400" w:hanging="200"/>
    </w:pPr>
  </w:style>
  <w:style w:type="paragraph" w:styleId="Index3">
    <w:name w:val="index 3"/>
    <w:basedOn w:val="Normal"/>
    <w:next w:val="Normal"/>
    <w:autoRedefine/>
    <w:uiPriority w:val="99"/>
    <w:semiHidden/>
    <w:rsid w:val="001C1BD0"/>
    <w:pPr>
      <w:ind w:left="600" w:hanging="200"/>
    </w:pPr>
  </w:style>
  <w:style w:type="paragraph" w:styleId="Index4">
    <w:name w:val="index 4"/>
    <w:basedOn w:val="Normal"/>
    <w:next w:val="Normal"/>
    <w:autoRedefine/>
    <w:uiPriority w:val="99"/>
    <w:semiHidden/>
    <w:rsid w:val="001C1BD0"/>
    <w:pPr>
      <w:ind w:left="800" w:hanging="200"/>
    </w:pPr>
  </w:style>
  <w:style w:type="paragraph" w:customStyle="1" w:styleId="Level1asHeading">
    <w:name w:val="Level 1 as Heading"/>
    <w:basedOn w:val="Level1"/>
    <w:next w:val="Level2"/>
    <w:uiPriority w:val="2"/>
    <w:qFormat/>
    <w:rsid w:val="001C1BD0"/>
    <w:pPr>
      <w:keepNext/>
      <w:outlineLvl w:val="0"/>
    </w:pPr>
    <w:rPr>
      <w:b/>
      <w:caps/>
    </w:rPr>
  </w:style>
  <w:style w:type="paragraph" w:customStyle="1" w:styleId="Level2asHeading">
    <w:name w:val="Level 2 as Heading"/>
    <w:basedOn w:val="Level2"/>
    <w:next w:val="Level3"/>
    <w:uiPriority w:val="2"/>
    <w:qFormat/>
    <w:rsid w:val="001C1BD0"/>
    <w:pPr>
      <w:keepNext/>
      <w:outlineLvl w:val="1"/>
    </w:pPr>
    <w:rPr>
      <w:b/>
    </w:rPr>
  </w:style>
  <w:style w:type="paragraph" w:customStyle="1" w:styleId="Level3asHeading">
    <w:name w:val="Level 3 as Heading"/>
    <w:basedOn w:val="Level3"/>
    <w:next w:val="Level4"/>
    <w:uiPriority w:val="2"/>
    <w:qFormat/>
    <w:rsid w:val="001C1BD0"/>
    <w:pPr>
      <w:keepNext/>
      <w:outlineLvl w:val="2"/>
    </w:pPr>
    <w:rPr>
      <w:b/>
    </w:rPr>
  </w:style>
  <w:style w:type="paragraph" w:styleId="ListContinue">
    <w:name w:val="List Continue"/>
    <w:basedOn w:val="Normal"/>
    <w:uiPriority w:val="99"/>
    <w:semiHidden/>
    <w:rsid w:val="001C1BD0"/>
    <w:pPr>
      <w:spacing w:after="120"/>
      <w:ind w:left="283"/>
      <w:contextualSpacing/>
    </w:pPr>
  </w:style>
  <w:style w:type="paragraph" w:styleId="ListContinue2">
    <w:name w:val="List Continue 2"/>
    <w:basedOn w:val="Normal"/>
    <w:uiPriority w:val="99"/>
    <w:semiHidden/>
    <w:rsid w:val="001C1BD0"/>
    <w:pPr>
      <w:spacing w:after="120"/>
      <w:ind w:left="566"/>
      <w:contextualSpacing/>
    </w:pPr>
  </w:style>
  <w:style w:type="paragraph" w:styleId="ListNumber2">
    <w:name w:val="List Number 2"/>
    <w:basedOn w:val="Normal"/>
    <w:uiPriority w:val="99"/>
    <w:semiHidden/>
    <w:rsid w:val="001C1BD0"/>
    <w:pPr>
      <w:numPr>
        <w:numId w:val="10"/>
      </w:numPr>
      <w:contextualSpacing/>
    </w:pPr>
  </w:style>
  <w:style w:type="paragraph" w:styleId="ListNumber3">
    <w:name w:val="List Number 3"/>
    <w:basedOn w:val="Normal"/>
    <w:uiPriority w:val="99"/>
    <w:semiHidden/>
    <w:rsid w:val="001C1BD0"/>
    <w:pPr>
      <w:numPr>
        <w:numId w:val="11"/>
      </w:numPr>
      <w:contextualSpacing/>
    </w:pPr>
  </w:style>
  <w:style w:type="paragraph" w:styleId="ListNumber4">
    <w:name w:val="List Number 4"/>
    <w:basedOn w:val="Normal"/>
    <w:uiPriority w:val="99"/>
    <w:semiHidden/>
    <w:rsid w:val="001C1BD0"/>
    <w:pPr>
      <w:numPr>
        <w:numId w:val="12"/>
      </w:numPr>
      <w:contextualSpacing/>
    </w:pPr>
  </w:style>
  <w:style w:type="paragraph" w:customStyle="1" w:styleId="SCHLevel1">
    <w:name w:val="SCH Level 1"/>
    <w:basedOn w:val="BodyText"/>
    <w:uiPriority w:val="99"/>
    <w:qFormat/>
    <w:rsid w:val="001C1BD0"/>
    <w:pPr>
      <w:numPr>
        <w:ilvl w:val="1"/>
        <w:numId w:val="16"/>
      </w:numPr>
      <w:spacing w:after="240"/>
    </w:pPr>
  </w:style>
  <w:style w:type="paragraph" w:customStyle="1" w:styleId="SCHHeading1">
    <w:name w:val="SCH Heading 1"/>
    <w:basedOn w:val="SCHLevel1"/>
    <w:next w:val="SCHLevel2"/>
    <w:uiPriority w:val="99"/>
    <w:qFormat/>
    <w:rsid w:val="001C1BD0"/>
    <w:pPr>
      <w:keepNext/>
    </w:pPr>
    <w:rPr>
      <w:b/>
      <w:caps/>
    </w:rPr>
  </w:style>
  <w:style w:type="paragraph" w:customStyle="1" w:styleId="SCHLevel2">
    <w:name w:val="SCH Level 2"/>
    <w:basedOn w:val="BodyText"/>
    <w:uiPriority w:val="99"/>
    <w:qFormat/>
    <w:rsid w:val="001C1BD0"/>
    <w:pPr>
      <w:numPr>
        <w:ilvl w:val="2"/>
        <w:numId w:val="16"/>
      </w:numPr>
      <w:spacing w:after="240"/>
    </w:pPr>
  </w:style>
  <w:style w:type="paragraph" w:customStyle="1" w:styleId="SCHHeading2">
    <w:name w:val="SCH Heading 2"/>
    <w:basedOn w:val="SCHLevel2"/>
    <w:next w:val="SCHLevel3"/>
    <w:uiPriority w:val="99"/>
    <w:qFormat/>
    <w:rsid w:val="001C1BD0"/>
    <w:pPr>
      <w:keepNext/>
    </w:pPr>
    <w:rPr>
      <w:b/>
    </w:rPr>
  </w:style>
  <w:style w:type="paragraph" w:customStyle="1" w:styleId="SCHLevel3">
    <w:name w:val="SCH Level 3"/>
    <w:basedOn w:val="BodyText"/>
    <w:uiPriority w:val="99"/>
    <w:qFormat/>
    <w:rsid w:val="001C1BD0"/>
    <w:pPr>
      <w:numPr>
        <w:ilvl w:val="3"/>
        <w:numId w:val="16"/>
      </w:numPr>
      <w:spacing w:after="240"/>
    </w:pPr>
  </w:style>
  <w:style w:type="paragraph" w:customStyle="1" w:styleId="SCHHeading3">
    <w:name w:val="SCH Heading 3"/>
    <w:basedOn w:val="SCHLevel3"/>
    <w:next w:val="SCHLevel4"/>
    <w:uiPriority w:val="99"/>
    <w:qFormat/>
    <w:rsid w:val="001C1BD0"/>
    <w:pPr>
      <w:keepNext/>
    </w:pPr>
    <w:rPr>
      <w:b/>
    </w:rPr>
  </w:style>
  <w:style w:type="paragraph" w:customStyle="1" w:styleId="SCHLevel4">
    <w:name w:val="SCH Level 4"/>
    <w:basedOn w:val="BodyText"/>
    <w:uiPriority w:val="99"/>
    <w:qFormat/>
    <w:rsid w:val="001C1BD0"/>
    <w:pPr>
      <w:numPr>
        <w:ilvl w:val="4"/>
        <w:numId w:val="16"/>
      </w:numPr>
      <w:spacing w:after="240"/>
    </w:pPr>
  </w:style>
  <w:style w:type="paragraph" w:customStyle="1" w:styleId="SCHLevel5">
    <w:name w:val="SCH Level 5"/>
    <w:basedOn w:val="BodyText"/>
    <w:uiPriority w:val="99"/>
    <w:qFormat/>
    <w:rsid w:val="001C1BD0"/>
    <w:pPr>
      <w:numPr>
        <w:ilvl w:val="5"/>
        <w:numId w:val="16"/>
      </w:numPr>
      <w:spacing w:after="240"/>
    </w:pPr>
  </w:style>
  <w:style w:type="paragraph" w:customStyle="1" w:styleId="SCHLevel6">
    <w:name w:val="SCH Level 6"/>
    <w:basedOn w:val="BodyText"/>
    <w:uiPriority w:val="99"/>
    <w:qFormat/>
    <w:rsid w:val="001C1BD0"/>
    <w:pPr>
      <w:numPr>
        <w:ilvl w:val="6"/>
        <w:numId w:val="16"/>
      </w:numPr>
      <w:spacing w:after="240"/>
    </w:pPr>
  </w:style>
  <w:style w:type="paragraph" w:styleId="TOC8">
    <w:name w:val="toc 8"/>
    <w:basedOn w:val="Normal"/>
    <w:next w:val="Normal"/>
    <w:autoRedefine/>
    <w:uiPriority w:val="39"/>
    <w:rsid w:val="001C1BD0"/>
    <w:pPr>
      <w:spacing w:after="100"/>
      <w:ind w:left="851" w:hanging="851"/>
    </w:pPr>
    <w:rPr>
      <w:caps/>
    </w:rPr>
  </w:style>
  <w:style w:type="paragraph" w:styleId="TOC9">
    <w:name w:val="toc 9"/>
    <w:basedOn w:val="Normal"/>
    <w:next w:val="Normal"/>
    <w:autoRedefine/>
    <w:uiPriority w:val="39"/>
    <w:rsid w:val="001C1BD0"/>
    <w:pPr>
      <w:spacing w:after="100"/>
      <w:ind w:left="2552" w:hanging="1701"/>
    </w:pPr>
  </w:style>
  <w:style w:type="paragraph" w:styleId="TOCHeading">
    <w:name w:val="TOC Heading"/>
    <w:basedOn w:val="Heading1"/>
    <w:next w:val="Normal"/>
    <w:uiPriority w:val="39"/>
    <w:semiHidden/>
    <w:unhideWhenUsed/>
    <w:qFormat/>
    <w:rsid w:val="001C1BD0"/>
    <w:pPr>
      <w:keepLines/>
      <w:spacing w:before="240" w:after="0"/>
      <w:outlineLvl w:val="9"/>
    </w:pPr>
    <w:rPr>
      <w:rFonts w:asciiTheme="majorHAnsi" w:hAnsiTheme="majorHAnsi"/>
      <w:b w:val="0"/>
      <w:caps w:val="0"/>
      <w:sz w:val="32"/>
    </w:rPr>
  </w:style>
  <w:style w:type="paragraph" w:customStyle="1" w:styleId="Body7">
    <w:name w:val="Body 7"/>
    <w:basedOn w:val="Body"/>
    <w:qFormat/>
    <w:rsid w:val="001C1BD0"/>
    <w:pPr>
      <w:numPr>
        <w:ilvl w:val="6"/>
        <w:numId w:val="1"/>
      </w:numPr>
    </w:pPr>
  </w:style>
  <w:style w:type="paragraph" w:customStyle="1" w:styleId="Level7">
    <w:name w:val="Level 7"/>
    <w:basedOn w:val="Body7"/>
    <w:uiPriority w:val="3"/>
    <w:qFormat/>
    <w:rsid w:val="001C1BD0"/>
    <w:pPr>
      <w:numPr>
        <w:numId w:val="7"/>
      </w:numPr>
    </w:pPr>
  </w:style>
  <w:style w:type="paragraph" w:customStyle="1" w:styleId="SCHLevel7">
    <w:name w:val="SCH Level 7"/>
    <w:basedOn w:val="BodyText"/>
    <w:uiPriority w:val="99"/>
    <w:qFormat/>
    <w:rsid w:val="001C1BD0"/>
    <w:pPr>
      <w:numPr>
        <w:ilvl w:val="7"/>
        <w:numId w:val="16"/>
      </w:numPr>
      <w:spacing w:after="240"/>
    </w:pPr>
  </w:style>
  <w:style w:type="paragraph" w:customStyle="1" w:styleId="AddtoTOC">
    <w:name w:val="Add to TOC"/>
    <w:basedOn w:val="Heading1"/>
    <w:link w:val="AddtoTOCChar"/>
    <w:uiPriority w:val="99"/>
    <w:semiHidden/>
    <w:qFormat/>
    <w:rsid w:val="001C1BD0"/>
    <w:pPr>
      <w:jc w:val="left"/>
    </w:pPr>
    <w:rPr>
      <w:b w:val="0"/>
      <w:caps w:val="0"/>
    </w:rPr>
  </w:style>
  <w:style w:type="character" w:customStyle="1" w:styleId="AddtoTOCChar">
    <w:name w:val="Add to TOC Char"/>
    <w:basedOn w:val="Heading1Char"/>
    <w:link w:val="AddtoTOC"/>
    <w:uiPriority w:val="99"/>
    <w:semiHidden/>
    <w:rsid w:val="001C1BD0"/>
    <w:rPr>
      <w:rFonts w:ascii="Arial" w:eastAsiaTheme="majorEastAsia" w:hAnsi="Arial" w:cstheme="majorBidi"/>
      <w:b w:val="0"/>
      <w:caps w:val="0"/>
      <w:szCs w:val="32"/>
      <w:lang w:eastAsia="en-US"/>
    </w:rPr>
  </w:style>
  <w:style w:type="paragraph" w:styleId="ListBullet">
    <w:name w:val="List Bullet"/>
    <w:basedOn w:val="Normal"/>
    <w:uiPriority w:val="4"/>
    <w:rsid w:val="001C1BD0"/>
    <w:pPr>
      <w:numPr>
        <w:numId w:val="8"/>
      </w:numPr>
      <w:contextualSpacing/>
    </w:pPr>
  </w:style>
  <w:style w:type="paragraph" w:styleId="ListNumber">
    <w:name w:val="List Number"/>
    <w:basedOn w:val="Normal"/>
    <w:uiPriority w:val="4"/>
    <w:rsid w:val="001C1BD0"/>
    <w:pPr>
      <w:numPr>
        <w:numId w:val="9"/>
      </w:numPr>
      <w:contextualSpacing/>
    </w:pPr>
  </w:style>
  <w:style w:type="paragraph" w:customStyle="1" w:styleId="MainHeading">
    <w:name w:val="Main Heading"/>
    <w:basedOn w:val="Body"/>
    <w:uiPriority w:val="1"/>
    <w:rsid w:val="001C1BD0"/>
    <w:pPr>
      <w:keepNext/>
      <w:keepLines/>
      <w:jc w:val="center"/>
    </w:pPr>
    <w:rPr>
      <w:b/>
      <w:bCs/>
      <w:caps/>
      <w:sz w:val="24"/>
      <w:szCs w:val="24"/>
    </w:rPr>
  </w:style>
  <w:style w:type="paragraph" w:customStyle="1" w:styleId="PartyName">
    <w:name w:val="Party Name"/>
    <w:basedOn w:val="Normal"/>
    <w:next w:val="Normal"/>
    <w:link w:val="PartyNameChar"/>
    <w:semiHidden/>
    <w:qFormat/>
    <w:rsid w:val="001C1BD0"/>
    <w:pPr>
      <w:keepNext/>
      <w:spacing w:after="240"/>
    </w:pPr>
    <w:rPr>
      <w:b/>
      <w:caps/>
    </w:rPr>
  </w:style>
  <w:style w:type="character" w:customStyle="1" w:styleId="PartyNameChar">
    <w:name w:val="Party Name Char"/>
    <w:basedOn w:val="DefaultParagraphFont"/>
    <w:link w:val="PartyName"/>
    <w:semiHidden/>
    <w:rsid w:val="001C1BD0"/>
    <w:rPr>
      <w:rFonts w:ascii="Arial" w:eastAsiaTheme="minorHAnsi" w:hAnsi="Arial" w:cstheme="minorBidi"/>
      <w:b/>
      <w:caps/>
      <w:lang w:eastAsia="en-US"/>
    </w:rPr>
  </w:style>
  <w:style w:type="character" w:styleId="SubtleReference">
    <w:name w:val="Subtle Reference"/>
    <w:basedOn w:val="DefaultParagraphFont"/>
    <w:uiPriority w:val="31"/>
    <w:semiHidden/>
    <w:qFormat/>
    <w:rsid w:val="001C1BD0"/>
    <w:rPr>
      <w:rFonts w:ascii="Arial" w:hAnsi="Arial"/>
      <w:caps/>
      <w:smallCaps w:val="0"/>
      <w:color w:val="auto"/>
    </w:rPr>
  </w:style>
  <w:style w:type="paragraph" w:customStyle="1" w:styleId="Default">
    <w:name w:val="Default"/>
    <w:rsid w:val="0012014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47DA8"/>
    <w:rPr>
      <w:rFonts w:ascii="Arial"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372">
      <w:bodyDiv w:val="1"/>
      <w:marLeft w:val="0"/>
      <w:marRight w:val="0"/>
      <w:marTop w:val="0"/>
      <w:marBottom w:val="0"/>
      <w:divBdr>
        <w:top w:val="none" w:sz="0" w:space="0" w:color="auto"/>
        <w:left w:val="none" w:sz="0" w:space="0" w:color="auto"/>
        <w:bottom w:val="none" w:sz="0" w:space="0" w:color="auto"/>
        <w:right w:val="none" w:sz="0" w:space="0" w:color="auto"/>
      </w:divBdr>
      <w:divsChild>
        <w:div w:id="225845662">
          <w:marLeft w:val="360"/>
          <w:marRight w:val="0"/>
          <w:marTop w:val="200"/>
          <w:marBottom w:val="0"/>
          <w:divBdr>
            <w:top w:val="none" w:sz="0" w:space="0" w:color="auto"/>
            <w:left w:val="none" w:sz="0" w:space="0" w:color="auto"/>
            <w:bottom w:val="none" w:sz="0" w:space="0" w:color="auto"/>
            <w:right w:val="none" w:sz="0" w:space="0" w:color="auto"/>
          </w:divBdr>
        </w:div>
        <w:div w:id="1146967278">
          <w:marLeft w:val="1080"/>
          <w:marRight w:val="0"/>
          <w:marTop w:val="100"/>
          <w:marBottom w:val="0"/>
          <w:divBdr>
            <w:top w:val="none" w:sz="0" w:space="0" w:color="auto"/>
            <w:left w:val="none" w:sz="0" w:space="0" w:color="auto"/>
            <w:bottom w:val="none" w:sz="0" w:space="0" w:color="auto"/>
            <w:right w:val="none" w:sz="0" w:space="0" w:color="auto"/>
          </w:divBdr>
        </w:div>
        <w:div w:id="875196517">
          <w:marLeft w:val="1080"/>
          <w:marRight w:val="0"/>
          <w:marTop w:val="100"/>
          <w:marBottom w:val="0"/>
          <w:divBdr>
            <w:top w:val="none" w:sz="0" w:space="0" w:color="auto"/>
            <w:left w:val="none" w:sz="0" w:space="0" w:color="auto"/>
            <w:bottom w:val="none" w:sz="0" w:space="0" w:color="auto"/>
            <w:right w:val="none" w:sz="0" w:space="0" w:color="auto"/>
          </w:divBdr>
        </w:div>
      </w:divsChild>
    </w:div>
    <w:div w:id="293293760">
      <w:bodyDiv w:val="1"/>
      <w:marLeft w:val="0"/>
      <w:marRight w:val="0"/>
      <w:marTop w:val="0"/>
      <w:marBottom w:val="0"/>
      <w:divBdr>
        <w:top w:val="none" w:sz="0" w:space="0" w:color="auto"/>
        <w:left w:val="none" w:sz="0" w:space="0" w:color="auto"/>
        <w:bottom w:val="none" w:sz="0" w:space="0" w:color="auto"/>
        <w:right w:val="none" w:sz="0" w:space="0" w:color="auto"/>
      </w:divBdr>
      <w:divsChild>
        <w:div w:id="739910087">
          <w:marLeft w:val="360"/>
          <w:marRight w:val="0"/>
          <w:marTop w:val="200"/>
          <w:marBottom w:val="0"/>
          <w:divBdr>
            <w:top w:val="none" w:sz="0" w:space="0" w:color="auto"/>
            <w:left w:val="none" w:sz="0" w:space="0" w:color="auto"/>
            <w:bottom w:val="none" w:sz="0" w:space="0" w:color="auto"/>
            <w:right w:val="none" w:sz="0" w:space="0" w:color="auto"/>
          </w:divBdr>
        </w:div>
        <w:div w:id="248001714">
          <w:marLeft w:val="1080"/>
          <w:marRight w:val="0"/>
          <w:marTop w:val="100"/>
          <w:marBottom w:val="0"/>
          <w:divBdr>
            <w:top w:val="none" w:sz="0" w:space="0" w:color="auto"/>
            <w:left w:val="none" w:sz="0" w:space="0" w:color="auto"/>
            <w:bottom w:val="none" w:sz="0" w:space="0" w:color="auto"/>
            <w:right w:val="none" w:sz="0" w:space="0" w:color="auto"/>
          </w:divBdr>
        </w:div>
        <w:div w:id="1333869350">
          <w:marLeft w:val="1080"/>
          <w:marRight w:val="0"/>
          <w:marTop w:val="100"/>
          <w:marBottom w:val="0"/>
          <w:divBdr>
            <w:top w:val="none" w:sz="0" w:space="0" w:color="auto"/>
            <w:left w:val="none" w:sz="0" w:space="0" w:color="auto"/>
            <w:bottom w:val="none" w:sz="0" w:space="0" w:color="auto"/>
            <w:right w:val="none" w:sz="0" w:space="0" w:color="auto"/>
          </w:divBdr>
        </w:div>
        <w:div w:id="1717003501">
          <w:marLeft w:val="1080"/>
          <w:marRight w:val="0"/>
          <w:marTop w:val="100"/>
          <w:marBottom w:val="0"/>
          <w:divBdr>
            <w:top w:val="none" w:sz="0" w:space="0" w:color="auto"/>
            <w:left w:val="none" w:sz="0" w:space="0" w:color="auto"/>
            <w:bottom w:val="none" w:sz="0" w:space="0" w:color="auto"/>
            <w:right w:val="none" w:sz="0" w:space="0" w:color="auto"/>
          </w:divBdr>
        </w:div>
        <w:div w:id="1943217992">
          <w:marLeft w:val="1080"/>
          <w:marRight w:val="0"/>
          <w:marTop w:val="100"/>
          <w:marBottom w:val="0"/>
          <w:divBdr>
            <w:top w:val="none" w:sz="0" w:space="0" w:color="auto"/>
            <w:left w:val="none" w:sz="0" w:space="0" w:color="auto"/>
            <w:bottom w:val="none" w:sz="0" w:space="0" w:color="auto"/>
            <w:right w:val="none" w:sz="0" w:space="0" w:color="auto"/>
          </w:divBdr>
        </w:div>
      </w:divsChild>
    </w:div>
    <w:div w:id="307830131">
      <w:bodyDiv w:val="1"/>
      <w:marLeft w:val="0"/>
      <w:marRight w:val="0"/>
      <w:marTop w:val="0"/>
      <w:marBottom w:val="0"/>
      <w:divBdr>
        <w:top w:val="none" w:sz="0" w:space="0" w:color="auto"/>
        <w:left w:val="none" w:sz="0" w:space="0" w:color="auto"/>
        <w:bottom w:val="none" w:sz="0" w:space="0" w:color="auto"/>
        <w:right w:val="none" w:sz="0" w:space="0" w:color="auto"/>
      </w:divBdr>
      <w:divsChild>
        <w:div w:id="1028603131">
          <w:marLeft w:val="1080"/>
          <w:marRight w:val="0"/>
          <w:marTop w:val="100"/>
          <w:marBottom w:val="0"/>
          <w:divBdr>
            <w:top w:val="none" w:sz="0" w:space="0" w:color="auto"/>
            <w:left w:val="none" w:sz="0" w:space="0" w:color="auto"/>
            <w:bottom w:val="none" w:sz="0" w:space="0" w:color="auto"/>
            <w:right w:val="none" w:sz="0" w:space="0" w:color="auto"/>
          </w:divBdr>
        </w:div>
        <w:div w:id="307788240">
          <w:marLeft w:val="1080"/>
          <w:marRight w:val="0"/>
          <w:marTop w:val="100"/>
          <w:marBottom w:val="0"/>
          <w:divBdr>
            <w:top w:val="none" w:sz="0" w:space="0" w:color="auto"/>
            <w:left w:val="none" w:sz="0" w:space="0" w:color="auto"/>
            <w:bottom w:val="none" w:sz="0" w:space="0" w:color="auto"/>
            <w:right w:val="none" w:sz="0" w:space="0" w:color="auto"/>
          </w:divBdr>
        </w:div>
        <w:div w:id="985935069">
          <w:marLeft w:val="1080"/>
          <w:marRight w:val="0"/>
          <w:marTop w:val="100"/>
          <w:marBottom w:val="0"/>
          <w:divBdr>
            <w:top w:val="none" w:sz="0" w:space="0" w:color="auto"/>
            <w:left w:val="none" w:sz="0" w:space="0" w:color="auto"/>
            <w:bottom w:val="none" w:sz="0" w:space="0" w:color="auto"/>
            <w:right w:val="none" w:sz="0" w:space="0" w:color="auto"/>
          </w:divBdr>
        </w:div>
        <w:div w:id="1483621121">
          <w:marLeft w:val="1080"/>
          <w:marRight w:val="0"/>
          <w:marTop w:val="100"/>
          <w:marBottom w:val="0"/>
          <w:divBdr>
            <w:top w:val="none" w:sz="0" w:space="0" w:color="auto"/>
            <w:left w:val="none" w:sz="0" w:space="0" w:color="auto"/>
            <w:bottom w:val="none" w:sz="0" w:space="0" w:color="auto"/>
            <w:right w:val="none" w:sz="0" w:space="0" w:color="auto"/>
          </w:divBdr>
        </w:div>
      </w:divsChild>
    </w:div>
    <w:div w:id="340356019">
      <w:bodyDiv w:val="1"/>
      <w:marLeft w:val="0"/>
      <w:marRight w:val="0"/>
      <w:marTop w:val="0"/>
      <w:marBottom w:val="0"/>
      <w:divBdr>
        <w:top w:val="none" w:sz="0" w:space="0" w:color="auto"/>
        <w:left w:val="none" w:sz="0" w:space="0" w:color="auto"/>
        <w:bottom w:val="none" w:sz="0" w:space="0" w:color="auto"/>
        <w:right w:val="none" w:sz="0" w:space="0" w:color="auto"/>
      </w:divBdr>
      <w:divsChild>
        <w:div w:id="961880674">
          <w:marLeft w:val="1080"/>
          <w:marRight w:val="0"/>
          <w:marTop w:val="100"/>
          <w:marBottom w:val="0"/>
          <w:divBdr>
            <w:top w:val="none" w:sz="0" w:space="0" w:color="auto"/>
            <w:left w:val="none" w:sz="0" w:space="0" w:color="auto"/>
            <w:bottom w:val="none" w:sz="0" w:space="0" w:color="auto"/>
            <w:right w:val="none" w:sz="0" w:space="0" w:color="auto"/>
          </w:divBdr>
        </w:div>
        <w:div w:id="765461396">
          <w:marLeft w:val="1080"/>
          <w:marRight w:val="0"/>
          <w:marTop w:val="100"/>
          <w:marBottom w:val="0"/>
          <w:divBdr>
            <w:top w:val="none" w:sz="0" w:space="0" w:color="auto"/>
            <w:left w:val="none" w:sz="0" w:space="0" w:color="auto"/>
            <w:bottom w:val="none" w:sz="0" w:space="0" w:color="auto"/>
            <w:right w:val="none" w:sz="0" w:space="0" w:color="auto"/>
          </w:divBdr>
        </w:div>
        <w:div w:id="648171363">
          <w:marLeft w:val="1080"/>
          <w:marRight w:val="0"/>
          <w:marTop w:val="100"/>
          <w:marBottom w:val="0"/>
          <w:divBdr>
            <w:top w:val="none" w:sz="0" w:space="0" w:color="auto"/>
            <w:left w:val="none" w:sz="0" w:space="0" w:color="auto"/>
            <w:bottom w:val="none" w:sz="0" w:space="0" w:color="auto"/>
            <w:right w:val="none" w:sz="0" w:space="0" w:color="auto"/>
          </w:divBdr>
        </w:div>
        <w:div w:id="1453816838">
          <w:marLeft w:val="1080"/>
          <w:marRight w:val="0"/>
          <w:marTop w:val="100"/>
          <w:marBottom w:val="0"/>
          <w:divBdr>
            <w:top w:val="none" w:sz="0" w:space="0" w:color="auto"/>
            <w:left w:val="none" w:sz="0" w:space="0" w:color="auto"/>
            <w:bottom w:val="none" w:sz="0" w:space="0" w:color="auto"/>
            <w:right w:val="none" w:sz="0" w:space="0" w:color="auto"/>
          </w:divBdr>
        </w:div>
      </w:divsChild>
    </w:div>
    <w:div w:id="450436385">
      <w:bodyDiv w:val="1"/>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1080"/>
          <w:marRight w:val="0"/>
          <w:marTop w:val="100"/>
          <w:marBottom w:val="0"/>
          <w:divBdr>
            <w:top w:val="none" w:sz="0" w:space="0" w:color="auto"/>
            <w:left w:val="none" w:sz="0" w:space="0" w:color="auto"/>
            <w:bottom w:val="none" w:sz="0" w:space="0" w:color="auto"/>
            <w:right w:val="none" w:sz="0" w:space="0" w:color="auto"/>
          </w:divBdr>
        </w:div>
        <w:div w:id="1597664688">
          <w:marLeft w:val="1080"/>
          <w:marRight w:val="0"/>
          <w:marTop w:val="100"/>
          <w:marBottom w:val="0"/>
          <w:divBdr>
            <w:top w:val="none" w:sz="0" w:space="0" w:color="auto"/>
            <w:left w:val="none" w:sz="0" w:space="0" w:color="auto"/>
            <w:bottom w:val="none" w:sz="0" w:space="0" w:color="auto"/>
            <w:right w:val="none" w:sz="0" w:space="0" w:color="auto"/>
          </w:divBdr>
        </w:div>
        <w:div w:id="2050375004">
          <w:marLeft w:val="1080"/>
          <w:marRight w:val="0"/>
          <w:marTop w:val="100"/>
          <w:marBottom w:val="0"/>
          <w:divBdr>
            <w:top w:val="none" w:sz="0" w:space="0" w:color="auto"/>
            <w:left w:val="none" w:sz="0" w:space="0" w:color="auto"/>
            <w:bottom w:val="none" w:sz="0" w:space="0" w:color="auto"/>
            <w:right w:val="none" w:sz="0" w:space="0" w:color="auto"/>
          </w:divBdr>
        </w:div>
        <w:div w:id="1011880642">
          <w:marLeft w:val="1080"/>
          <w:marRight w:val="0"/>
          <w:marTop w:val="100"/>
          <w:marBottom w:val="0"/>
          <w:divBdr>
            <w:top w:val="none" w:sz="0" w:space="0" w:color="auto"/>
            <w:left w:val="none" w:sz="0" w:space="0" w:color="auto"/>
            <w:bottom w:val="none" w:sz="0" w:space="0" w:color="auto"/>
            <w:right w:val="none" w:sz="0" w:space="0" w:color="auto"/>
          </w:divBdr>
        </w:div>
      </w:divsChild>
    </w:div>
    <w:div w:id="452022930">
      <w:bodyDiv w:val="1"/>
      <w:marLeft w:val="0"/>
      <w:marRight w:val="0"/>
      <w:marTop w:val="0"/>
      <w:marBottom w:val="0"/>
      <w:divBdr>
        <w:top w:val="none" w:sz="0" w:space="0" w:color="auto"/>
        <w:left w:val="none" w:sz="0" w:space="0" w:color="auto"/>
        <w:bottom w:val="none" w:sz="0" w:space="0" w:color="auto"/>
        <w:right w:val="none" w:sz="0" w:space="0" w:color="auto"/>
      </w:divBdr>
      <w:divsChild>
        <w:div w:id="509762770">
          <w:marLeft w:val="1080"/>
          <w:marRight w:val="0"/>
          <w:marTop w:val="100"/>
          <w:marBottom w:val="0"/>
          <w:divBdr>
            <w:top w:val="none" w:sz="0" w:space="0" w:color="auto"/>
            <w:left w:val="none" w:sz="0" w:space="0" w:color="auto"/>
            <w:bottom w:val="none" w:sz="0" w:space="0" w:color="auto"/>
            <w:right w:val="none" w:sz="0" w:space="0" w:color="auto"/>
          </w:divBdr>
        </w:div>
      </w:divsChild>
    </w:div>
    <w:div w:id="755173890">
      <w:bodyDiv w:val="1"/>
      <w:marLeft w:val="0"/>
      <w:marRight w:val="0"/>
      <w:marTop w:val="0"/>
      <w:marBottom w:val="0"/>
      <w:divBdr>
        <w:top w:val="none" w:sz="0" w:space="0" w:color="auto"/>
        <w:left w:val="none" w:sz="0" w:space="0" w:color="auto"/>
        <w:bottom w:val="none" w:sz="0" w:space="0" w:color="auto"/>
        <w:right w:val="none" w:sz="0" w:space="0" w:color="auto"/>
      </w:divBdr>
    </w:div>
    <w:div w:id="867568955">
      <w:bodyDiv w:val="1"/>
      <w:marLeft w:val="0"/>
      <w:marRight w:val="0"/>
      <w:marTop w:val="0"/>
      <w:marBottom w:val="0"/>
      <w:divBdr>
        <w:top w:val="none" w:sz="0" w:space="0" w:color="auto"/>
        <w:left w:val="none" w:sz="0" w:space="0" w:color="auto"/>
        <w:bottom w:val="none" w:sz="0" w:space="0" w:color="auto"/>
        <w:right w:val="none" w:sz="0" w:space="0" w:color="auto"/>
      </w:divBdr>
    </w:div>
    <w:div w:id="1006130471">
      <w:bodyDiv w:val="1"/>
      <w:marLeft w:val="0"/>
      <w:marRight w:val="0"/>
      <w:marTop w:val="0"/>
      <w:marBottom w:val="0"/>
      <w:divBdr>
        <w:top w:val="none" w:sz="0" w:space="0" w:color="auto"/>
        <w:left w:val="none" w:sz="0" w:space="0" w:color="auto"/>
        <w:bottom w:val="none" w:sz="0" w:space="0" w:color="auto"/>
        <w:right w:val="none" w:sz="0" w:space="0" w:color="auto"/>
      </w:divBdr>
      <w:divsChild>
        <w:div w:id="1533113024">
          <w:marLeft w:val="1080"/>
          <w:marRight w:val="0"/>
          <w:marTop w:val="100"/>
          <w:marBottom w:val="0"/>
          <w:divBdr>
            <w:top w:val="none" w:sz="0" w:space="0" w:color="auto"/>
            <w:left w:val="none" w:sz="0" w:space="0" w:color="auto"/>
            <w:bottom w:val="none" w:sz="0" w:space="0" w:color="auto"/>
            <w:right w:val="none" w:sz="0" w:space="0" w:color="auto"/>
          </w:divBdr>
        </w:div>
        <w:div w:id="427777456">
          <w:marLeft w:val="1080"/>
          <w:marRight w:val="0"/>
          <w:marTop w:val="100"/>
          <w:marBottom w:val="0"/>
          <w:divBdr>
            <w:top w:val="none" w:sz="0" w:space="0" w:color="auto"/>
            <w:left w:val="none" w:sz="0" w:space="0" w:color="auto"/>
            <w:bottom w:val="none" w:sz="0" w:space="0" w:color="auto"/>
            <w:right w:val="none" w:sz="0" w:space="0" w:color="auto"/>
          </w:divBdr>
        </w:div>
        <w:div w:id="1754350425">
          <w:marLeft w:val="1080"/>
          <w:marRight w:val="0"/>
          <w:marTop w:val="100"/>
          <w:marBottom w:val="0"/>
          <w:divBdr>
            <w:top w:val="none" w:sz="0" w:space="0" w:color="auto"/>
            <w:left w:val="none" w:sz="0" w:space="0" w:color="auto"/>
            <w:bottom w:val="none" w:sz="0" w:space="0" w:color="auto"/>
            <w:right w:val="none" w:sz="0" w:space="0" w:color="auto"/>
          </w:divBdr>
        </w:div>
      </w:divsChild>
    </w:div>
    <w:div w:id="1047024511">
      <w:bodyDiv w:val="1"/>
      <w:marLeft w:val="0"/>
      <w:marRight w:val="0"/>
      <w:marTop w:val="0"/>
      <w:marBottom w:val="0"/>
      <w:divBdr>
        <w:top w:val="none" w:sz="0" w:space="0" w:color="auto"/>
        <w:left w:val="none" w:sz="0" w:space="0" w:color="auto"/>
        <w:bottom w:val="none" w:sz="0" w:space="0" w:color="auto"/>
        <w:right w:val="none" w:sz="0" w:space="0" w:color="auto"/>
      </w:divBdr>
      <w:divsChild>
        <w:div w:id="1725372574">
          <w:marLeft w:val="1080"/>
          <w:marRight w:val="0"/>
          <w:marTop w:val="100"/>
          <w:marBottom w:val="0"/>
          <w:divBdr>
            <w:top w:val="none" w:sz="0" w:space="0" w:color="auto"/>
            <w:left w:val="none" w:sz="0" w:space="0" w:color="auto"/>
            <w:bottom w:val="none" w:sz="0" w:space="0" w:color="auto"/>
            <w:right w:val="none" w:sz="0" w:space="0" w:color="auto"/>
          </w:divBdr>
        </w:div>
        <w:div w:id="1037042849">
          <w:marLeft w:val="1080"/>
          <w:marRight w:val="0"/>
          <w:marTop w:val="100"/>
          <w:marBottom w:val="0"/>
          <w:divBdr>
            <w:top w:val="none" w:sz="0" w:space="0" w:color="auto"/>
            <w:left w:val="none" w:sz="0" w:space="0" w:color="auto"/>
            <w:bottom w:val="none" w:sz="0" w:space="0" w:color="auto"/>
            <w:right w:val="none" w:sz="0" w:space="0" w:color="auto"/>
          </w:divBdr>
        </w:div>
        <w:div w:id="1266570762">
          <w:marLeft w:val="1080"/>
          <w:marRight w:val="0"/>
          <w:marTop w:val="100"/>
          <w:marBottom w:val="0"/>
          <w:divBdr>
            <w:top w:val="none" w:sz="0" w:space="0" w:color="auto"/>
            <w:left w:val="none" w:sz="0" w:space="0" w:color="auto"/>
            <w:bottom w:val="none" w:sz="0" w:space="0" w:color="auto"/>
            <w:right w:val="none" w:sz="0" w:space="0" w:color="auto"/>
          </w:divBdr>
        </w:div>
        <w:div w:id="728193699">
          <w:marLeft w:val="1080"/>
          <w:marRight w:val="0"/>
          <w:marTop w:val="100"/>
          <w:marBottom w:val="0"/>
          <w:divBdr>
            <w:top w:val="none" w:sz="0" w:space="0" w:color="auto"/>
            <w:left w:val="none" w:sz="0" w:space="0" w:color="auto"/>
            <w:bottom w:val="none" w:sz="0" w:space="0" w:color="auto"/>
            <w:right w:val="none" w:sz="0" w:space="0" w:color="auto"/>
          </w:divBdr>
        </w:div>
        <w:div w:id="1799834286">
          <w:marLeft w:val="1080"/>
          <w:marRight w:val="0"/>
          <w:marTop w:val="100"/>
          <w:marBottom w:val="0"/>
          <w:divBdr>
            <w:top w:val="none" w:sz="0" w:space="0" w:color="auto"/>
            <w:left w:val="none" w:sz="0" w:space="0" w:color="auto"/>
            <w:bottom w:val="none" w:sz="0" w:space="0" w:color="auto"/>
            <w:right w:val="none" w:sz="0" w:space="0" w:color="auto"/>
          </w:divBdr>
        </w:div>
        <w:div w:id="1416978227">
          <w:marLeft w:val="1080"/>
          <w:marRight w:val="0"/>
          <w:marTop w:val="100"/>
          <w:marBottom w:val="0"/>
          <w:divBdr>
            <w:top w:val="none" w:sz="0" w:space="0" w:color="auto"/>
            <w:left w:val="none" w:sz="0" w:space="0" w:color="auto"/>
            <w:bottom w:val="none" w:sz="0" w:space="0" w:color="auto"/>
            <w:right w:val="none" w:sz="0" w:space="0" w:color="auto"/>
          </w:divBdr>
        </w:div>
      </w:divsChild>
    </w:div>
    <w:div w:id="1132862304">
      <w:bodyDiv w:val="1"/>
      <w:marLeft w:val="0"/>
      <w:marRight w:val="0"/>
      <w:marTop w:val="0"/>
      <w:marBottom w:val="0"/>
      <w:divBdr>
        <w:top w:val="none" w:sz="0" w:space="0" w:color="auto"/>
        <w:left w:val="none" w:sz="0" w:space="0" w:color="auto"/>
        <w:bottom w:val="none" w:sz="0" w:space="0" w:color="auto"/>
        <w:right w:val="none" w:sz="0" w:space="0" w:color="auto"/>
      </w:divBdr>
      <w:divsChild>
        <w:div w:id="175966083">
          <w:marLeft w:val="1080"/>
          <w:marRight w:val="0"/>
          <w:marTop w:val="100"/>
          <w:marBottom w:val="0"/>
          <w:divBdr>
            <w:top w:val="none" w:sz="0" w:space="0" w:color="auto"/>
            <w:left w:val="none" w:sz="0" w:space="0" w:color="auto"/>
            <w:bottom w:val="none" w:sz="0" w:space="0" w:color="auto"/>
            <w:right w:val="none" w:sz="0" w:space="0" w:color="auto"/>
          </w:divBdr>
        </w:div>
      </w:divsChild>
    </w:div>
    <w:div w:id="1160997784">
      <w:bodyDiv w:val="1"/>
      <w:marLeft w:val="0"/>
      <w:marRight w:val="0"/>
      <w:marTop w:val="0"/>
      <w:marBottom w:val="0"/>
      <w:divBdr>
        <w:top w:val="none" w:sz="0" w:space="0" w:color="auto"/>
        <w:left w:val="none" w:sz="0" w:space="0" w:color="auto"/>
        <w:bottom w:val="none" w:sz="0" w:space="0" w:color="auto"/>
        <w:right w:val="none" w:sz="0" w:space="0" w:color="auto"/>
      </w:divBdr>
      <w:divsChild>
        <w:div w:id="51391843">
          <w:marLeft w:val="1080"/>
          <w:marRight w:val="0"/>
          <w:marTop w:val="100"/>
          <w:marBottom w:val="0"/>
          <w:divBdr>
            <w:top w:val="none" w:sz="0" w:space="0" w:color="auto"/>
            <w:left w:val="none" w:sz="0" w:space="0" w:color="auto"/>
            <w:bottom w:val="none" w:sz="0" w:space="0" w:color="auto"/>
            <w:right w:val="none" w:sz="0" w:space="0" w:color="auto"/>
          </w:divBdr>
        </w:div>
        <w:div w:id="1171874370">
          <w:marLeft w:val="1080"/>
          <w:marRight w:val="0"/>
          <w:marTop w:val="100"/>
          <w:marBottom w:val="0"/>
          <w:divBdr>
            <w:top w:val="none" w:sz="0" w:space="0" w:color="auto"/>
            <w:left w:val="none" w:sz="0" w:space="0" w:color="auto"/>
            <w:bottom w:val="none" w:sz="0" w:space="0" w:color="auto"/>
            <w:right w:val="none" w:sz="0" w:space="0" w:color="auto"/>
          </w:divBdr>
        </w:div>
        <w:div w:id="820537283">
          <w:marLeft w:val="1080"/>
          <w:marRight w:val="0"/>
          <w:marTop w:val="100"/>
          <w:marBottom w:val="0"/>
          <w:divBdr>
            <w:top w:val="none" w:sz="0" w:space="0" w:color="auto"/>
            <w:left w:val="none" w:sz="0" w:space="0" w:color="auto"/>
            <w:bottom w:val="none" w:sz="0" w:space="0" w:color="auto"/>
            <w:right w:val="none" w:sz="0" w:space="0" w:color="auto"/>
          </w:divBdr>
        </w:div>
      </w:divsChild>
    </w:div>
    <w:div w:id="1472357160">
      <w:bodyDiv w:val="1"/>
      <w:marLeft w:val="0"/>
      <w:marRight w:val="0"/>
      <w:marTop w:val="0"/>
      <w:marBottom w:val="0"/>
      <w:divBdr>
        <w:top w:val="none" w:sz="0" w:space="0" w:color="auto"/>
        <w:left w:val="none" w:sz="0" w:space="0" w:color="auto"/>
        <w:bottom w:val="none" w:sz="0" w:space="0" w:color="auto"/>
        <w:right w:val="none" w:sz="0" w:space="0" w:color="auto"/>
      </w:divBdr>
      <w:divsChild>
        <w:div w:id="332294757">
          <w:marLeft w:val="360"/>
          <w:marRight w:val="0"/>
          <w:marTop w:val="200"/>
          <w:marBottom w:val="0"/>
          <w:divBdr>
            <w:top w:val="none" w:sz="0" w:space="0" w:color="auto"/>
            <w:left w:val="none" w:sz="0" w:space="0" w:color="auto"/>
            <w:bottom w:val="none" w:sz="0" w:space="0" w:color="auto"/>
            <w:right w:val="none" w:sz="0" w:space="0" w:color="auto"/>
          </w:divBdr>
        </w:div>
        <w:div w:id="1985890881">
          <w:marLeft w:val="1080"/>
          <w:marRight w:val="0"/>
          <w:marTop w:val="100"/>
          <w:marBottom w:val="0"/>
          <w:divBdr>
            <w:top w:val="none" w:sz="0" w:space="0" w:color="auto"/>
            <w:left w:val="none" w:sz="0" w:space="0" w:color="auto"/>
            <w:bottom w:val="none" w:sz="0" w:space="0" w:color="auto"/>
            <w:right w:val="none" w:sz="0" w:space="0" w:color="auto"/>
          </w:divBdr>
        </w:div>
        <w:div w:id="780421718">
          <w:marLeft w:val="1080"/>
          <w:marRight w:val="0"/>
          <w:marTop w:val="100"/>
          <w:marBottom w:val="0"/>
          <w:divBdr>
            <w:top w:val="none" w:sz="0" w:space="0" w:color="auto"/>
            <w:left w:val="none" w:sz="0" w:space="0" w:color="auto"/>
            <w:bottom w:val="none" w:sz="0" w:space="0" w:color="auto"/>
            <w:right w:val="none" w:sz="0" w:space="0" w:color="auto"/>
          </w:divBdr>
        </w:div>
        <w:div w:id="1164514091">
          <w:marLeft w:val="1080"/>
          <w:marRight w:val="0"/>
          <w:marTop w:val="100"/>
          <w:marBottom w:val="0"/>
          <w:divBdr>
            <w:top w:val="none" w:sz="0" w:space="0" w:color="auto"/>
            <w:left w:val="none" w:sz="0" w:space="0" w:color="auto"/>
            <w:bottom w:val="none" w:sz="0" w:space="0" w:color="auto"/>
            <w:right w:val="none" w:sz="0" w:space="0" w:color="auto"/>
          </w:divBdr>
        </w:div>
      </w:divsChild>
    </w:div>
    <w:div w:id="19658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048C244334C879DD7685E8EE3226F"/>
        <w:category>
          <w:name w:val="General"/>
          <w:gallery w:val="placeholder"/>
        </w:category>
        <w:types>
          <w:type w:val="bbPlcHdr"/>
        </w:types>
        <w:behaviors>
          <w:behavior w:val="content"/>
        </w:behaviors>
        <w:guid w:val="{5D9FC13D-78FA-4867-8E5F-F48117E2CF7C}"/>
      </w:docPartPr>
      <w:docPartBody>
        <w:p w:rsidR="00A55023" w:rsidRDefault="001F1658">
          <w:pPr>
            <w:pStyle w:val="178048C244334C879DD7685E8EE322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iss 2 Regular">
    <w:altName w:val="Arial"/>
    <w:panose1 w:val="02000506030000020004"/>
    <w:charset w:val="00"/>
    <w:family w:val="modern"/>
    <w:notTrueType/>
    <w:pitch w:val="variable"/>
    <w:sig w:usb0="A00000AF" w:usb1="5000204B" w:usb2="00000000" w:usb3="00000000" w:csb0="0000009B"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58"/>
    <w:rsid w:val="001F1658"/>
    <w:rsid w:val="00A55023"/>
    <w:rsid w:val="00D4529F"/>
    <w:rsid w:val="00E25366"/>
    <w:rsid w:val="00E4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8048C244334C879DD7685E8EE3226F">
    <w:name w:val="178048C244334C879DD7685E8EE32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insentMasons">
      <a:dk1>
        <a:sysClr val="windowText" lastClr="000000"/>
      </a:dk1>
      <a:lt1>
        <a:sysClr val="window" lastClr="FFFFFF"/>
      </a:lt1>
      <a:dk2>
        <a:srgbClr val="A80C35"/>
      </a:dk2>
      <a:lt2>
        <a:srgbClr val="1E2326"/>
      </a:lt2>
      <a:accent1>
        <a:srgbClr val="00B5AD"/>
      </a:accent1>
      <a:accent2>
        <a:srgbClr val="0097D6"/>
      </a:accent2>
      <a:accent3>
        <a:srgbClr val="00756F"/>
      </a:accent3>
      <a:accent4>
        <a:srgbClr val="C6168D"/>
      </a:accent4>
      <a:accent5>
        <a:srgbClr val="F1B80C"/>
      </a:accent5>
      <a:accent6>
        <a:srgbClr val="F1720C"/>
      </a:accent6>
      <a:hlink>
        <a:srgbClr val="A80C3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insent Masons Claret">
      <a:srgbClr val="A80C35"/>
    </a:custClr>
    <a:custClr name="Pinsent Masons Teal">
      <a:srgbClr val="00B5A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Pinsent Masons Charcoal">
      <a:srgbClr val="1E2326"/>
    </a:custClr>
    <a:custClr name="80%">
      <a:srgbClr val="435964"/>
    </a:custClr>
    <a:custClr name="60%">
      <a:srgbClr val="6A7F8A"/>
    </a:custClr>
    <a:custClr name="40%">
      <a:srgbClr val="93A5B0"/>
    </a:custClr>
    <a:custClr name="20%">
      <a:srgbClr val="C5D0D6"/>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lue">
      <a:srgbClr val="0097D6"/>
    </a:custClr>
    <a:custClr name="Dark Teal">
      <a:srgbClr val="00756F"/>
    </a:custClr>
    <a:custClr name="Dark Pink">
      <a:srgbClr val="C6168D"/>
    </a:custClr>
    <a:custClr name="Yellow">
      <a:srgbClr val="F1B80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a:srgbClr val="F37021"/>
    </a:custClr>
    <a:custClr name="Pink">
      <a:srgbClr val="EE4D9B"/>
    </a:custClr>
    <a:custClr name="Green">
      <a:srgbClr val="8FB73E"/>
    </a:custClr>
    <a:custClr name="Purple">
      <a:srgbClr val="7C52A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822D98A19744DA7CF5CF1342C94B6" ma:contentTypeVersion="12" ma:contentTypeDescription="Create a new document." ma:contentTypeScope="" ma:versionID="89d823c726de4b23a0cf0243e99e95a2">
  <xsd:schema xmlns:xsd="http://www.w3.org/2001/XMLSchema" xmlns:xs="http://www.w3.org/2001/XMLSchema" xmlns:p="http://schemas.microsoft.com/office/2006/metadata/properties" xmlns:ns3="cff2d417-e24e-418b-b657-2c5bed5c5142" xmlns:ns4="79da7828-9d60-44e6-ba64-62a642c22b37" targetNamespace="http://schemas.microsoft.com/office/2006/metadata/properties" ma:root="true" ma:fieldsID="2bdc583ff952d171eea15399c08314b5" ns3:_="" ns4:_="">
    <xsd:import namespace="cff2d417-e24e-418b-b657-2c5bed5c5142"/>
    <xsd:import namespace="79da7828-9d60-44e6-ba64-62a642c22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2d417-e24e-418b-b657-2c5bed5c5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a7828-9d60-44e6-ba64-62a642c22b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FormConfiguration><![CDATA[{"formFields":[{"defaultValue":"false","helpTexts":{"prefix":"","postfix":""},"spacing":{},"type":"checkBox","name":"LogoVisibility","label":"Show Logo","fullyQualifiedName":"LogoVisibility"}],"formDataEntries":[]}]]></TemplafyFormConfiguration>
</file>

<file path=customXml/item5.xml><?xml version="1.0" encoding="utf-8"?>
<TemplafyTemplateConfiguration><![CDATA[{"elementsMetadata":[],"transformationConfigurations":[{"language":"{{DocumentLanguage}}","disableUpdates":false,"type":"proofingLanguage"},{"propertyName":"iManageDocumentType","propertyValue":"LETTER","disableUpdates":false,"type":"customDocumentProperty"},{"colorTheme":"{{UserProfile.CompanyName.Themecolor}}","disableUpdates":false,"type":"colorTheme"},{"binding":"UserProfile.LogoInsertion.LogoName_{{Form.LogoVisibility}}","shapeName":"Logo","width":"{{UserProfile.LogoInsertion.LogoWidth}}","height":"","namedSections":"first","namedPages":"all","leftOffset":"{{UserProfile.LogoInsertion.LogoLeftOffset}}","horizontalRelativePosition":"page","horizontalAlignment":"center","topOffset":"{{UserProfile.LogoInsertion.LogoTopOffset}}","verticalRelativePosition":"page","imageTextWrapping":"inFrontOfText","disableUpdates":false,"type":"imageHeader"}],"isBaseTemplate":false,"templateName":"Blank A4","templateDescription":"Now with body 7, level 7 and SCH Level 7","enableDocumentContentUpdater":true,"version":"1.11"}]]></TemplafyTemplate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8709-9FD3-4C62-9446-95297DF6C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143BD-520F-45FD-98A9-9A47ED8B1C85}">
  <ds:schemaRefs>
    <ds:schemaRef ds:uri="http://schemas.microsoft.com/sharepoint/v3/contenttype/forms"/>
  </ds:schemaRefs>
</ds:datastoreItem>
</file>

<file path=customXml/itemProps3.xml><?xml version="1.0" encoding="utf-8"?>
<ds:datastoreItem xmlns:ds="http://schemas.openxmlformats.org/officeDocument/2006/customXml" ds:itemID="{755DEFE5-DD9E-48B4-B176-AB3A3785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2d417-e24e-418b-b657-2c5bed5c5142"/>
    <ds:schemaRef ds:uri="79da7828-9d60-44e6-ba64-62a642c22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49199-EAE3-44D2-A19C-FFA9F3236C80}">
  <ds:schemaRefs/>
</ds:datastoreItem>
</file>

<file path=customXml/itemProps5.xml><?xml version="1.0" encoding="utf-8"?>
<ds:datastoreItem xmlns:ds="http://schemas.openxmlformats.org/officeDocument/2006/customXml" ds:itemID="{7B11D53D-9B92-4693-BE1E-6656EF0B8CF1}">
  <ds:schemaRefs/>
</ds:datastoreItem>
</file>

<file path=customXml/itemProps6.xml><?xml version="1.0" encoding="utf-8"?>
<ds:datastoreItem xmlns:ds="http://schemas.openxmlformats.org/officeDocument/2006/customXml" ds:itemID="{7070EB38-D7EE-45B9-AF53-AD27EA78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4900</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Abbott</dc:creator>
  <cp:keywords/>
  <dc:description/>
  <cp:lastModifiedBy>Jan Bessell</cp:lastModifiedBy>
  <cp:revision>2</cp:revision>
  <cp:lastPrinted>2009-05-28T19:51:00Z</cp:lastPrinted>
  <dcterms:created xsi:type="dcterms:W3CDTF">2022-04-05T20:43:00Z</dcterms:created>
  <dcterms:modified xsi:type="dcterms:W3CDTF">2022-04-05T20:43:00Z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IM_Ran">
    <vt:lpwstr>True</vt:lpwstr>
  </property>
  <property fmtid="{D5CDD505-2E9C-101B-9397-08002B2CF9AE}" pid="3" name="Reference">
    <vt:lpwstr>48996884.1\NONCLIENT</vt:lpwstr>
  </property>
  <property fmtid="{D5CDD505-2E9C-101B-9397-08002B2CF9AE}" pid="4" name="Reference_src">
    <vt:lpwstr>{IMan.Number}.{IMan.Version}\{IMan.imProfileCustom1}</vt:lpwstr>
  </property>
</Properties>
</file>